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Construction Change Management Standard Operating Procedure Template</w:t>
      </w:r>
    </w:p>
    <w:p>
      <w:pPr>
        <w:spacing w:after="200"/>
      </w:pPr>
      <w:r>
        <w:rPr>
          <w:i/>
          <w:iCs/>
          <w:color w:val="6B7280"/>
        </w:rPr>
        <w:t xml:space="preserve">Free change management SOP for construction. Covers change order requests, pricing review, and schedule impact analysis.</w:t>
      </w:r>
    </w:p>
    <w:p>
      <w:pPr>
        <w:pStyle w:val="Heading2"/>
        <w:spacing w:after="100" w:before="240"/>
      </w:pPr>
      <w:r>
        <w:t xml:space="preserve">Purpose</w:t>
      </w:r>
    </w:p>
    <w:p>
      <w:pPr>
        <w:spacing w:after="100"/>
      </w:pPr>
      <w:r>
        <w:t xml:space="preserve">Process scope changes through a documented approval workflow so that no work proceeds without an agreed price, schedule impact, and written authorization. Uncontrolled change orders are the primary cause of construction cost overruns and contract disputes.</w:t>
      </w:r>
    </w:p>
    <w:p>
      <w:pPr>
        <w:pStyle w:val="Heading2"/>
        <w:spacing w:after="100" w:before="240"/>
      </w:pPr>
      <w:r>
        <w:t xml:space="preserve">Scope</w:t>
      </w:r>
    </w:p>
    <w:p>
      <w:pPr>
        <w:spacing w:after="100"/>
      </w:pPr>
      <w:r>
        <w:t xml:space="preserve">Covers owner-initiated changes, architect-initiated changes, field-discovered conditions, and subcontractor-requested changes. Does not cover value engineering proposals initiated by the GC (separate process).</w:t>
      </w:r>
    </w:p>
    <w:p>
      <w:pPr>
        <w:pStyle w:val="Heading2"/>
        <w:spacing w:after="100" w:before="240"/>
      </w:pPr>
      <w:r>
        <w:t xml:space="preserve">Prerequisites</w:t>
      </w:r>
    </w:p>
    <w:p>
      <w:pPr>
        <w:pStyle w:val="ListParagraph"/>
        <w:numPr>
          <w:ilvl w:val="0"/>
          <w:numId w:val="1"/>
        </w:numPr>
        <w:spacing w:after="40"/>
      </w:pPr>
      <w:r>
        <w:t xml:space="preserve">Original contract documents with scope of work clearly defined</w:t>
      </w:r>
    </w:p>
    <w:p>
      <w:pPr>
        <w:pStyle w:val="ListParagraph"/>
        <w:numPr>
          <w:ilvl w:val="0"/>
          <w:numId w:val="1"/>
        </w:numPr>
        <w:spacing w:after="40"/>
      </w:pPr>
      <w:r>
        <w:t xml:space="preserve">Procore change management module configured for the project</w:t>
      </w:r>
    </w:p>
    <w:p>
      <w:pPr>
        <w:pStyle w:val="ListParagraph"/>
        <w:numPr>
          <w:ilvl w:val="0"/>
          <w:numId w:val="1"/>
        </w:numPr>
        <w:spacing w:after="40"/>
      </w:pPr>
      <w:r>
        <w:t xml:space="preserve">Subcontract agreements with change order pricing provisions</w:t>
      </w:r>
    </w:p>
    <w:p>
      <w:pPr>
        <w:pStyle w:val="ListParagraph"/>
        <w:numPr>
          <w:ilvl w:val="0"/>
          <w:numId w:val="1"/>
        </w:numPr>
        <w:spacing w:after="40"/>
      </w:pPr>
      <w:r>
        <w:t xml:space="preserve">Project schedule baseline established in the scheduling software</w:t>
      </w:r>
    </w:p>
    <w:p>
      <w:pPr>
        <w:pStyle w:val="ListParagraph"/>
        <w:numPr>
          <w:ilvl w:val="0"/>
          <w:numId w:val="1"/>
        </w:numPr>
        <w:spacing w:after="40"/>
      </w:pPr>
      <w:r>
        <w:t xml:space="preserve">Delegation of authority matrix defining who can approve changes at each dollar threshold</w:t>
      </w:r>
    </w:p>
    <w:p>
      <w:pPr>
        <w:pStyle w:val="Heading2"/>
        <w:spacing w:after="100" w:before="240"/>
      </w:pPr>
      <w:r>
        <w:t xml:space="preserve">Roles &amp; Responsibilities</w:t>
      </w:r>
    </w:p>
    <w:p>
      <w:pPr>
        <w:spacing w:after="40" w:before="120"/>
      </w:pPr>
      <w:r>
        <w:rPr>
          <w:b/>
          <w:bCs/>
        </w:rPr>
        <w:t xml:space="preserve">Project Manager</w:t>
      </w:r>
    </w:p>
    <w:p>
      <w:pPr>
        <w:pStyle w:val="ListParagraph"/>
        <w:numPr>
          <w:ilvl w:val="0"/>
          <w:numId w:val="1"/>
        </w:numPr>
        <w:spacing w:after="40"/>
      </w:pPr>
      <w:r>
        <w:t xml:space="preserve">Evaluate change requests for scope, cost, and schedule impact</w:t>
      </w:r>
    </w:p>
    <w:p>
      <w:pPr>
        <w:pStyle w:val="ListParagraph"/>
        <w:numPr>
          <w:ilvl w:val="0"/>
          <w:numId w:val="1"/>
        </w:numPr>
        <w:spacing w:after="40"/>
      </w:pPr>
      <w:r>
        <w:t xml:space="preserve">Negotiate change order pricing with subcontractors and owner</w:t>
      </w:r>
    </w:p>
    <w:p>
      <w:pPr>
        <w:pStyle w:val="ListParagraph"/>
        <w:numPr>
          <w:ilvl w:val="0"/>
          <w:numId w:val="1"/>
        </w:numPr>
        <w:spacing w:after="40"/>
      </w:pPr>
      <w:r>
        <w:t xml:space="preserve">Execute approved change orders in Procore</w:t>
      </w:r>
    </w:p>
    <w:p>
      <w:pPr>
        <w:spacing w:after="40" w:before="120"/>
      </w:pPr>
      <w:r>
        <w:rPr>
          <w:b/>
          <w:bCs/>
        </w:rPr>
        <w:t xml:space="preserve">Superintendent</w:t>
      </w:r>
    </w:p>
    <w:p>
      <w:pPr>
        <w:pStyle w:val="ListParagraph"/>
        <w:numPr>
          <w:ilvl w:val="0"/>
          <w:numId w:val="1"/>
        </w:numPr>
        <w:spacing w:after="40"/>
      </w:pPr>
      <w:r>
        <w:t xml:space="preserve">Identify field conditions requiring scope changes</w:t>
      </w:r>
    </w:p>
    <w:p>
      <w:pPr>
        <w:pStyle w:val="ListParagraph"/>
        <w:numPr>
          <w:ilvl w:val="0"/>
          <w:numId w:val="1"/>
        </w:numPr>
        <w:spacing w:after="40"/>
      </w:pPr>
      <w:r>
        <w:t xml:space="preserve">Estimate schedule impact of proposed changes</w:t>
      </w:r>
    </w:p>
    <w:p>
      <w:pPr>
        <w:pStyle w:val="ListParagraph"/>
        <w:numPr>
          <w:ilvl w:val="0"/>
          <w:numId w:val="1"/>
        </w:numPr>
        <w:spacing w:after="40"/>
      </w:pPr>
      <w:r>
        <w:t xml:space="preserve">Verify that no change order work proceeds without written authorization</w:t>
      </w:r>
    </w:p>
    <w:p>
      <w:pPr>
        <w:spacing w:after="40" w:before="120"/>
      </w:pPr>
      <w:r>
        <w:rPr>
          <w:b/>
          <w:bCs/>
        </w:rPr>
        <w:t xml:space="preserve">Project Executive</w:t>
      </w:r>
    </w:p>
    <w:p>
      <w:pPr>
        <w:pStyle w:val="ListParagraph"/>
        <w:numPr>
          <w:ilvl w:val="0"/>
          <w:numId w:val="1"/>
        </w:numPr>
        <w:spacing w:after="40"/>
      </w:pPr>
      <w:r>
        <w:t xml:space="preserve">Approve change orders exceeding the project manager's authority</w:t>
      </w:r>
    </w:p>
    <w:p>
      <w:pPr>
        <w:pStyle w:val="ListParagraph"/>
        <w:numPr>
          <w:ilvl w:val="0"/>
          <w:numId w:val="1"/>
        </w:numPr>
        <w:spacing w:after="40"/>
      </w:pPr>
      <w:r>
        <w:t xml:space="preserve">Review monthly change order logs for trend analysis</w:t>
      </w:r>
    </w:p>
    <w:p>
      <w:pPr>
        <w:pStyle w:val="ListParagraph"/>
        <w:numPr>
          <w:ilvl w:val="0"/>
          <w:numId w:val="1"/>
        </w:numPr>
        <w:spacing w:after="40"/>
      </w:pPr>
      <w:r>
        <w:t xml:space="preserve">Negotiate disputed changes with the owner's representative</w:t>
      </w:r>
    </w:p>
    <w:p>
      <w:pPr>
        <w:pStyle w:val="Heading2"/>
        <w:spacing w:after="100" w:before="240"/>
      </w:pPr>
      <w:r>
        <w:t xml:space="preserve">Procedure</w:t>
      </w:r>
    </w:p>
    <w:p>
      <w:pPr>
        <w:pStyle w:val="Heading3"/>
        <w:spacing w:after="40" w:before="160"/>
      </w:pPr>
      <w:r>
        <w:t xml:space="preserve">Step 1: Identify and document the change</w:t>
      </w:r>
    </w:p>
    <w:p>
      <w:pPr>
        <w:spacing w:after="100"/>
      </w:pPr>
      <w:r>
        <w:t xml:space="preserve">When a scope change is identified — whether from an owner request, architect revision, field condition, or subcontractor issue — document it immediately in Procore as a potential change order (PCO). Include: the source of the change, description of the additional or modified work, reference to the affected contract documents, and preliminary cost and schedule impact.</w:t>
      </w:r>
    </w:p>
    <w:p>
      <w:pPr>
        <w:pStyle w:val="ListParagraph"/>
        <w:numPr>
          <w:ilvl w:val="1"/>
          <w:numId w:val="1"/>
        </w:numPr>
        <w:spacing w:after="40"/>
      </w:pPr>
      <w:r>
        <w:t xml:space="preserve">Create a PCO in Procore with a unique tracking number</w:t>
      </w:r>
    </w:p>
    <w:p>
      <w:pPr>
        <w:pStyle w:val="ListParagraph"/>
        <w:numPr>
          <w:ilvl w:val="1"/>
          <w:numId w:val="1"/>
        </w:numPr>
        <w:spacing w:after="40"/>
      </w:pPr>
      <w:r>
        <w:t xml:space="preserve">Describe the change and its source (owner directive, RFI response, field condition)</w:t>
      </w:r>
    </w:p>
    <w:p>
      <w:pPr>
        <w:pStyle w:val="ListParagraph"/>
        <w:numPr>
          <w:ilvl w:val="1"/>
          <w:numId w:val="1"/>
        </w:numPr>
        <w:spacing w:after="40"/>
      </w:pPr>
      <w:r>
        <w:t xml:space="preserve">Reference the affected specification sections and drawing sheets</w:t>
      </w:r>
    </w:p>
    <w:p>
      <w:pPr>
        <w:pStyle w:val="ListParagraph"/>
        <w:numPr>
          <w:ilvl w:val="1"/>
          <w:numId w:val="1"/>
        </w:numPr>
        <w:spacing w:after="40"/>
      </w:pPr>
      <w:r>
        <w:t xml:space="preserve">Note the preliminary cost and schedule impact</w:t>
      </w:r>
    </w:p>
    <w:p>
      <w:pPr>
        <w:pStyle w:val="ListParagraph"/>
        <w:numPr>
          <w:ilvl w:val="1"/>
          <w:numId w:val="1"/>
        </w:numPr>
        <w:spacing w:after="40"/>
      </w:pPr>
      <w:r>
        <w:t xml:space="preserve">Attach supporting documentation (photos, RFIs, revised drawings)</w:t>
      </w:r>
    </w:p>
    <w:p>
      <w:pPr>
        <w:pStyle w:val="Heading3"/>
        <w:spacing w:after="40" w:before="160"/>
      </w:pPr>
      <w:r>
        <w:t xml:space="preserve">Step 2: Request and review pricing</w:t>
      </w:r>
    </w:p>
    <w:p>
      <w:pPr>
        <w:spacing w:after="100"/>
      </w:pPr>
      <w:r>
        <w:t xml:space="preserve">Send the PCO to affected subcontractors with a request for pricing. Subcontractors should provide itemized costs (labor, material, equipment, subcontractor markup) within 5 business days. The project manager reviews each proposal against independent estimates, material price books, and historical data. Reject proposals that are unreasonably high with specific objections.</w:t>
      </w:r>
    </w:p>
    <w:p>
      <w:pPr>
        <w:pStyle w:val="ListParagraph"/>
        <w:numPr>
          <w:ilvl w:val="1"/>
          <w:numId w:val="1"/>
        </w:numPr>
        <w:spacing w:after="40"/>
      </w:pPr>
      <w:r>
        <w:t xml:space="preserve">Distribute the PCO to affected subcontractors for pricing</w:t>
      </w:r>
    </w:p>
    <w:p>
      <w:pPr>
        <w:pStyle w:val="ListParagraph"/>
        <w:numPr>
          <w:ilvl w:val="1"/>
          <w:numId w:val="1"/>
        </w:numPr>
        <w:spacing w:after="40"/>
      </w:pPr>
      <w:r>
        <w:t xml:space="preserve">Set a 5-business-day deadline for pricing responses</w:t>
      </w:r>
    </w:p>
    <w:p>
      <w:pPr>
        <w:pStyle w:val="ListParagraph"/>
        <w:numPr>
          <w:ilvl w:val="1"/>
          <w:numId w:val="1"/>
        </w:numPr>
        <w:spacing w:after="40"/>
      </w:pPr>
      <w:r>
        <w:t xml:space="preserve">Review proposals against independent cost estimates</w:t>
      </w:r>
    </w:p>
    <w:p>
      <w:pPr>
        <w:pStyle w:val="ListParagraph"/>
        <w:numPr>
          <w:ilvl w:val="1"/>
          <w:numId w:val="1"/>
        </w:numPr>
        <w:spacing w:after="40"/>
      </w:pPr>
      <w:r>
        <w:t xml:space="preserve">Verify labor rates, material quantities, and markup percentages</w:t>
      </w:r>
    </w:p>
    <w:p>
      <w:pPr>
        <w:pStyle w:val="ListParagraph"/>
        <w:numPr>
          <w:ilvl w:val="1"/>
          <w:numId w:val="1"/>
        </w:numPr>
        <w:spacing w:after="40"/>
      </w:pPr>
      <w:r>
        <w:t xml:space="preserve">Negotiate pricing that exceeds independent estimates by more than 15%</w:t>
      </w:r>
    </w:p>
    <w:p>
      <w:pPr>
        <w:spacing w:after="100"/>
      </w:pPr>
      <w:r>
        <w:rPr>
          <w:i/>
          <w:iCs/>
          <w:color w:val="1F7A4D"/>
        </w:rPr>
        <w:t xml:space="preserve">Tip: Build your own cost estimate before reviewing the sub's proposal. If you don't know what it should cost, you can't negotiate effectively.</w:t>
      </w:r>
    </w:p>
    <w:p>
      <w:pPr>
        <w:pStyle w:val="Heading3"/>
        <w:spacing w:after="40" w:before="160"/>
      </w:pPr>
      <w:r>
        <w:t xml:space="preserve">Step 3: Analyze schedule impact</w:t>
      </w:r>
    </w:p>
    <w:p>
      <w:pPr>
        <w:spacing w:after="100"/>
      </w:pPr>
      <w:r>
        <w:t xml:space="preserve">The superintendent evaluates how the change affects the project schedule. Determine if the change is on the critical path, if it requires additional time, and if it can be sequenced to minimize delay. Document the schedule impact in the PCO — both the direct work duration and any cascading effects on other trades.</w:t>
      </w:r>
    </w:p>
    <w:p>
      <w:pPr>
        <w:pStyle w:val="ListParagraph"/>
        <w:numPr>
          <w:ilvl w:val="1"/>
          <w:numId w:val="1"/>
        </w:numPr>
        <w:spacing w:after="40"/>
      </w:pPr>
      <w:r>
        <w:t xml:space="preserve">Determine if the change affects critical path activities</w:t>
      </w:r>
    </w:p>
    <w:p>
      <w:pPr>
        <w:pStyle w:val="ListParagraph"/>
        <w:numPr>
          <w:ilvl w:val="1"/>
          <w:numId w:val="1"/>
        </w:numPr>
        <w:spacing w:after="40"/>
      </w:pPr>
      <w:r>
        <w:t xml:space="preserve">Calculate the direct work duration for the additional scope</w:t>
      </w:r>
    </w:p>
    <w:p>
      <w:pPr>
        <w:pStyle w:val="ListParagraph"/>
        <w:numPr>
          <w:ilvl w:val="1"/>
          <w:numId w:val="1"/>
        </w:numPr>
        <w:spacing w:after="40"/>
      </w:pPr>
      <w:r>
        <w:t xml:space="preserve">Identify cascading schedule impacts on other trades</w:t>
      </w:r>
    </w:p>
    <w:p>
      <w:pPr>
        <w:pStyle w:val="ListParagraph"/>
        <w:numPr>
          <w:ilvl w:val="1"/>
          <w:numId w:val="1"/>
        </w:numPr>
        <w:spacing w:after="40"/>
      </w:pPr>
      <w:r>
        <w:t xml:space="preserve">Determine if the schedule impact can be mitigated through resequencing</w:t>
      </w:r>
    </w:p>
    <w:p>
      <w:pPr>
        <w:pStyle w:val="ListParagraph"/>
        <w:numPr>
          <w:ilvl w:val="1"/>
          <w:numId w:val="1"/>
        </w:numPr>
        <w:spacing w:after="40"/>
      </w:pPr>
      <w:r>
        <w:t xml:space="preserve">Document the time extension request (if any) in the PCO</w:t>
      </w:r>
    </w:p>
    <w:p>
      <w:pPr>
        <w:pStyle w:val="Heading3"/>
        <w:spacing w:after="40" w:before="160"/>
      </w:pPr>
      <w:r>
        <w:t xml:space="preserve">Step 4: Submit the change order proposal to the owner</w:t>
      </w:r>
    </w:p>
    <w:p>
      <w:pPr>
        <w:spacing w:after="100"/>
      </w:pPr>
      <w:r>
        <w:t xml:space="preserve">Package the PCO into a formal change order proposal for the owner. Include: description of the change, justification, itemized cost breakdown, schedule impact, and supporting documentation. Submit through the contractually required channel (usually the architect for AIA contracts). Track the submission date — response time is usually defined in the contract.</w:t>
      </w:r>
    </w:p>
    <w:p>
      <w:pPr>
        <w:pStyle w:val="ListParagraph"/>
        <w:numPr>
          <w:ilvl w:val="1"/>
          <w:numId w:val="1"/>
        </w:numPr>
        <w:spacing w:after="40"/>
      </w:pPr>
      <w:r>
        <w:t xml:space="preserve">Compile the change order proposal with full backup documentation</w:t>
      </w:r>
    </w:p>
    <w:p>
      <w:pPr>
        <w:pStyle w:val="ListParagraph"/>
        <w:numPr>
          <w:ilvl w:val="1"/>
          <w:numId w:val="1"/>
        </w:numPr>
        <w:spacing w:after="40"/>
      </w:pPr>
      <w:r>
        <w:t xml:space="preserve">Include itemized cost breakdown with subcontractor quotes</w:t>
      </w:r>
    </w:p>
    <w:p>
      <w:pPr>
        <w:pStyle w:val="ListParagraph"/>
        <w:numPr>
          <w:ilvl w:val="1"/>
          <w:numId w:val="1"/>
        </w:numPr>
        <w:spacing w:after="40"/>
      </w:pPr>
      <w:r>
        <w:t xml:space="preserve">Attach schedule impact analysis</w:t>
      </w:r>
    </w:p>
    <w:p>
      <w:pPr>
        <w:pStyle w:val="ListParagraph"/>
        <w:numPr>
          <w:ilvl w:val="1"/>
          <w:numId w:val="1"/>
        </w:numPr>
        <w:spacing w:after="40"/>
      </w:pPr>
      <w:r>
        <w:t xml:space="preserve">Submit through the contractually required channel</w:t>
      </w:r>
    </w:p>
    <w:p>
      <w:pPr>
        <w:pStyle w:val="ListParagraph"/>
        <w:numPr>
          <w:ilvl w:val="1"/>
          <w:numId w:val="1"/>
        </w:numPr>
        <w:spacing w:after="40"/>
      </w:pPr>
      <w:r>
        <w:t xml:space="preserve">Log the submission date and track the owner's response deadline</w:t>
      </w:r>
    </w:p>
    <w:p>
      <w:pPr>
        <w:pStyle w:val="Heading3"/>
        <w:spacing w:after="40" w:before="160"/>
      </w:pPr>
      <w:r>
        <w:t xml:space="preserve">Step 5: Execute the approved change order</w:t>
      </w:r>
    </w:p>
    <w:p>
      <w:pPr>
        <w:spacing w:after="100"/>
      </w:pPr>
      <w:r>
        <w:t xml:space="preserve">Once the owner approves the change order, execute it in Procore. Update the contract value, adjust the schedule, and issue subcontract change orders to affected trades. Distribute the revised documents to the field team. No work should have started before this step — if it did, you've lost negotiating leverage.</w:t>
      </w:r>
    </w:p>
    <w:p>
      <w:pPr>
        <w:pStyle w:val="ListParagraph"/>
        <w:numPr>
          <w:ilvl w:val="1"/>
          <w:numId w:val="1"/>
        </w:numPr>
        <w:spacing w:after="40"/>
      </w:pPr>
      <w:r>
        <w:t xml:space="preserve">Execute the change order in Procore with owner signature</w:t>
      </w:r>
    </w:p>
    <w:p>
      <w:pPr>
        <w:pStyle w:val="ListParagraph"/>
        <w:numPr>
          <w:ilvl w:val="1"/>
          <w:numId w:val="1"/>
        </w:numPr>
        <w:spacing w:after="40"/>
      </w:pPr>
      <w:r>
        <w:t xml:space="preserve">Issue subcontract change orders to affected trades</w:t>
      </w:r>
    </w:p>
    <w:p>
      <w:pPr>
        <w:pStyle w:val="ListParagraph"/>
        <w:numPr>
          <w:ilvl w:val="1"/>
          <w:numId w:val="1"/>
        </w:numPr>
        <w:spacing w:after="40"/>
      </w:pPr>
      <w:r>
        <w:t xml:space="preserve">Update the project schedule with approved time extension</w:t>
      </w:r>
    </w:p>
    <w:p>
      <w:pPr>
        <w:pStyle w:val="ListParagraph"/>
        <w:numPr>
          <w:ilvl w:val="1"/>
          <w:numId w:val="1"/>
        </w:numPr>
        <w:spacing w:after="40"/>
      </w:pPr>
      <w:r>
        <w:t xml:space="preserve">Distribute revised scope documents to the field team</w:t>
      </w:r>
    </w:p>
    <w:p>
      <w:pPr>
        <w:pStyle w:val="ListParagraph"/>
        <w:numPr>
          <w:ilvl w:val="1"/>
          <w:numId w:val="1"/>
        </w:numPr>
        <w:spacing w:after="40"/>
      </w:pPr>
      <w:r>
        <w:t xml:space="preserve">Update the project budget and forecast</w:t>
      </w:r>
    </w:p>
    <w:p>
      <w:pPr>
        <w:spacing w:after="100"/>
      </w:pPr>
      <w:r>
        <w:rPr>
          <w:i/>
          <w:iCs/>
          <w:color w:val="B45309"/>
        </w:rPr>
        <w:t xml:space="preserve">Warning: Never authorize subcontractors to proceed with change order work before owner approval unless authorized by the project executive in writing. Work performed without approval may not be reimbursable.</w:t>
      </w:r>
    </w:p>
    <w:p>
      <w:pPr>
        <w:pStyle w:val="Heading3"/>
        <w:spacing w:after="40" w:before="160"/>
      </w:pPr>
      <w:r>
        <w:t xml:space="preserve">Step 6: Track and report on change orders monthly</w:t>
      </w:r>
    </w:p>
    <w:p>
      <w:pPr>
        <w:spacing w:after="100"/>
      </w:pPr>
      <w:r>
        <w:t xml:space="preserve">Maintain a monthly change order log showing: all PCOs, their status (pending/approved/rejected), cumulative cost impact, cumulative schedule impact, and trend analysis. Present at the monthly project meeting. A rising change order trend signals scope creep or design deficiencies that need escalation.</w:t>
      </w:r>
    </w:p>
    <w:p>
      <w:pPr>
        <w:pStyle w:val="ListParagraph"/>
        <w:numPr>
          <w:ilvl w:val="1"/>
          <w:numId w:val="1"/>
        </w:numPr>
        <w:spacing w:after="40"/>
      </w:pPr>
      <w:r>
        <w:t xml:space="preserve">Update the change order log in Procore monthly</w:t>
      </w:r>
    </w:p>
    <w:p>
      <w:pPr>
        <w:pStyle w:val="ListParagraph"/>
        <w:numPr>
          <w:ilvl w:val="1"/>
          <w:numId w:val="1"/>
        </w:numPr>
        <w:spacing w:after="40"/>
      </w:pPr>
      <w:r>
        <w:t xml:space="preserve">Calculate cumulative cost and schedule impact</w:t>
      </w:r>
    </w:p>
    <w:p>
      <w:pPr>
        <w:pStyle w:val="ListParagraph"/>
        <w:numPr>
          <w:ilvl w:val="1"/>
          <w:numId w:val="1"/>
        </w:numPr>
        <w:spacing w:after="40"/>
      </w:pPr>
      <w:r>
        <w:t xml:space="preserve">Identify trends by change category (owner changes vs. field conditions vs. design errors)</w:t>
      </w:r>
    </w:p>
    <w:p>
      <w:pPr>
        <w:pStyle w:val="ListParagraph"/>
        <w:numPr>
          <w:ilvl w:val="1"/>
          <w:numId w:val="1"/>
        </w:numPr>
        <w:spacing w:after="40"/>
      </w:pPr>
      <w:r>
        <w:t xml:space="preserve">Present the change order summary at the monthly project meeting</w:t>
      </w:r>
    </w:p>
    <w:p>
      <w:pPr>
        <w:pStyle w:val="ListParagraph"/>
        <w:numPr>
          <w:ilvl w:val="1"/>
          <w:numId w:val="1"/>
        </w:numPr>
        <w:spacing w:after="40"/>
      </w:pPr>
      <w:r>
        <w:t xml:space="preserve">Flag projects where changes exceed 10% of the original contract value</w:t>
      </w:r>
    </w:p>
    <w:p>
      <w:pPr>
        <w:pStyle w:val="Heading2"/>
        <w:spacing w:after="100" w:before="240"/>
      </w:pPr>
      <w:r>
        <w:t xml:space="preserve">Completion Checklist</w:t>
      </w:r>
    </w:p>
    <w:p>
      <w:pPr>
        <w:spacing w:after="40"/>
      </w:pPr>
      <w:r>
        <w:t xml:space="preserve">☐  All scope changes documented as PCOs in Procore immediately</w:t>
      </w:r>
    </w:p>
    <w:p>
      <w:pPr>
        <w:spacing w:after="40"/>
      </w:pPr>
      <w:r>
        <w:t xml:space="preserve">☐  Subcontractor pricing received within 5 business days</w:t>
      </w:r>
    </w:p>
    <w:p>
      <w:pPr>
        <w:spacing w:after="40"/>
      </w:pPr>
      <w:r>
        <w:t xml:space="preserve">☐  Independent cost estimates prepared before reviewing sub proposals</w:t>
      </w:r>
    </w:p>
    <w:p>
      <w:pPr>
        <w:spacing w:after="40"/>
      </w:pPr>
      <w:r>
        <w:t xml:space="preserve">☐  Schedule impact analysis completed for every change</w:t>
      </w:r>
    </w:p>
    <w:p>
      <w:pPr>
        <w:spacing w:after="40"/>
      </w:pPr>
      <w:r>
        <w:t xml:space="preserve">☐  Change order proposal submitted to owner through required channel</w:t>
      </w:r>
    </w:p>
    <w:p>
      <w:pPr>
        <w:spacing w:after="40"/>
      </w:pPr>
      <w:r>
        <w:t xml:space="preserve">☐  No change order work authorized before owner approval</w:t>
      </w:r>
    </w:p>
    <w:p>
      <w:pPr>
        <w:spacing w:after="40"/>
      </w:pPr>
      <w:r>
        <w:t xml:space="preserve">☐  Executed change orders distributed to field team</w:t>
      </w:r>
    </w:p>
    <w:p>
      <w:pPr>
        <w:spacing w:after="40"/>
      </w:pPr>
      <w:r>
        <w:t xml:space="preserve">☐  Subcontract change orders issued to affected trades</w:t>
      </w:r>
    </w:p>
    <w:p>
      <w:pPr>
        <w:spacing w:after="40"/>
      </w:pPr>
      <w:r>
        <w:t xml:space="preserve">☐  Project budget and schedule updated after each change</w:t>
      </w:r>
    </w:p>
    <w:p>
      <w:pPr>
        <w:spacing w:after="40"/>
      </w:pPr>
      <w:r>
        <w:t xml:space="preserve">☐  Monthly change order log maintained and presented</w:t>
      </w:r>
    </w:p>
    <w:p>
      <w:pPr>
        <w:spacing w:after="40"/>
      </w:pPr>
      <w:r>
        <w:t xml:space="preserve">☐  Changes exceeding 10% of contract value flagged to management</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Change order processing time</w:t>
            </w:r>
          </w:p>
        </w:tc>
        <w:tc>
          <w:tcPr>
            <w:tcMar>
              <w:top w:type="dxa" w:w="60"/>
              <w:left w:type="dxa" w:w="120"/>
              <w:bottom w:type="dxa" w:w="60"/>
              <w:right w:type="dxa" w:w="120"/>
            </w:tcMar>
          </w:tcPr>
          <w:p>
            <w:r>
              <w:rPr>
                <w:b w:val="false"/>
                <w:bCs w:val="false"/>
              </w:rPr>
              <w:t xml:space="preserve">PCO to approved CO within 21 days</w:t>
            </w:r>
          </w:p>
        </w:tc>
      </w:tr>
      <w:tr>
        <w:trPr>
          <w:tblHeader w:val="false"/>
        </w:trPr>
        <w:tc>
          <w:tcPr>
            <w:tcMar>
              <w:top w:type="dxa" w:w="60"/>
              <w:left w:type="dxa" w:w="120"/>
              <w:bottom w:type="dxa" w:w="60"/>
              <w:right w:type="dxa" w:w="120"/>
            </w:tcMar>
          </w:tcPr>
          <w:p>
            <w:r>
              <w:rPr>
                <w:b w:val="false"/>
                <w:bCs w:val="false"/>
              </w:rPr>
              <w:t xml:space="preserve">Unauthorized work incidents</w:t>
            </w:r>
          </w:p>
        </w:tc>
        <w:tc>
          <w:tcPr>
            <w:tcMar>
              <w:top w:type="dxa" w:w="60"/>
              <w:left w:type="dxa" w:w="120"/>
              <w:bottom w:type="dxa" w:w="60"/>
              <w:right w:type="dxa" w:w="120"/>
            </w:tcMar>
          </w:tcPr>
          <w:p>
            <w:r>
              <w:rPr>
                <w:b w:val="false"/>
                <w:bCs w:val="false"/>
              </w:rPr>
              <w:t xml:space="preserve">Zero instances of work proceeding without approved CO</w:t>
            </w:r>
          </w:p>
        </w:tc>
      </w:tr>
      <w:tr>
        <w:trPr>
          <w:tblHeader w:val="false"/>
        </w:trPr>
        <w:tc>
          <w:tcPr>
            <w:tcMar>
              <w:top w:type="dxa" w:w="60"/>
              <w:left w:type="dxa" w:w="120"/>
              <w:bottom w:type="dxa" w:w="60"/>
              <w:right w:type="dxa" w:w="120"/>
            </w:tcMar>
          </w:tcPr>
          <w:p>
            <w:r>
              <w:rPr>
                <w:b w:val="false"/>
                <w:bCs w:val="false"/>
              </w:rPr>
              <w:t xml:space="preserve">Cost recovery rate</w:t>
            </w:r>
          </w:p>
        </w:tc>
        <w:tc>
          <w:tcPr>
            <w:tcMar>
              <w:top w:type="dxa" w:w="60"/>
              <w:left w:type="dxa" w:w="120"/>
              <w:bottom w:type="dxa" w:w="60"/>
              <w:right w:type="dxa" w:w="120"/>
            </w:tcMar>
          </w:tcPr>
          <w:p>
            <w:r>
              <w:rPr>
                <w:b w:val="false"/>
                <w:bCs w:val="false"/>
              </w:rPr>
              <w:t xml:space="preserve">95% of legitimate changes recovered from owner</w:t>
            </w:r>
          </w:p>
        </w:tc>
      </w:tr>
      <w:tr>
        <w:trPr>
          <w:tblHeader w:val="false"/>
        </w:trPr>
        <w:tc>
          <w:tcPr>
            <w:tcMar>
              <w:top w:type="dxa" w:w="60"/>
              <w:left w:type="dxa" w:w="120"/>
              <w:bottom w:type="dxa" w:w="60"/>
              <w:right w:type="dxa" w:w="120"/>
            </w:tcMar>
          </w:tcPr>
          <w:p>
            <w:r>
              <w:rPr>
                <w:b w:val="false"/>
                <w:bCs w:val="false"/>
              </w:rPr>
              <w:t xml:space="preserve">Change order percentage of contract</w:t>
            </w:r>
          </w:p>
        </w:tc>
        <w:tc>
          <w:tcPr>
            <w:tcMar>
              <w:top w:type="dxa" w:w="60"/>
              <w:left w:type="dxa" w:w="120"/>
              <w:bottom w:type="dxa" w:w="60"/>
              <w:right w:type="dxa" w:w="120"/>
            </w:tcMar>
          </w:tcPr>
          <w:p>
            <w:r>
              <w:rPr>
                <w:b w:val="false"/>
                <w:bCs w:val="false"/>
              </w:rPr>
              <w:t xml:space="preserve">Under 10% for well-documented projects</w:t>
            </w:r>
          </w:p>
        </w:tc>
      </w:tr>
    </w:tbl>
    <w:p>
      <w:pPr>
        <w:pStyle w:val="Heading2"/>
        <w:spacing w:after="100" w:before="240"/>
      </w:pPr>
      <w:r>
        <w:t xml:space="preserve">Revision Schedule</w:t>
      </w:r>
    </w:p>
    <w:p>
      <w:pPr>
        <w:spacing w:after="100"/>
      </w:pPr>
      <w:r>
        <w:t xml:space="preserve">Annually, or after any project with significant change order disputes or cost overruns exceeding 15%.</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Change Management Standard Operating Procedure Template</dc:title>
  <dc:creator>Glyde</dc:creator>
  <dc:description>Free change management SOP for construction. Covers change order requests, pricing review, and schedule impact analysis.</dc:description>
  <cp:lastModifiedBy>Un-named</cp:lastModifiedBy>
  <cp:revision>1</cp:revision>
  <dcterms:created xsi:type="dcterms:W3CDTF">2026-07-22T08:34:35.048Z</dcterms:created>
  <dcterms:modified xsi:type="dcterms:W3CDTF">2026-07-22T08:34:35.048Z</dcterms:modified>
</cp:coreProperties>
</file>

<file path=docProps/custom.xml><?xml version="1.0" encoding="utf-8"?>
<Properties xmlns="http://schemas.openxmlformats.org/officeDocument/2006/custom-properties" xmlns:vt="http://schemas.openxmlformats.org/officeDocument/2006/docPropsVTypes"/>
</file>