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Education Change Management Standard Operating Procedure Template</w:t>
      </w:r>
    </w:p>
    <w:p>
      <w:pPr>
        <w:spacing w:after="200"/>
      </w:pPr>
      <w:r>
        <w:rPr>
          <w:i/>
          <w:iCs/>
          <w:color w:val="6B7280"/>
        </w:rPr>
        <w:t xml:space="preserve">Free change management SOP template for education operations teams. Step-by-step procedures for managing system and process changes at schools and universities.</w:t>
      </w:r>
    </w:p>
    <w:p>
      <w:pPr>
        <w:pStyle w:val="Heading2"/>
        <w:spacing w:after="100" w:before="240"/>
      </w:pPr>
      <w:r>
        <w:t xml:space="preserve">Purpose</w:t>
      </w:r>
    </w:p>
    <w:p>
      <w:pPr>
        <w:spacing w:after="100"/>
      </w:pPr>
      <w:r>
        <w:t xml:space="preserve">Establish a controlled process for requesting, evaluating, approving, and implementing changes to systems, policies, and procedures across educational institutions. This SOP prevents unplanned changes from disrupting instruction, registration, grading, or FERPA-protected systems — particularly during critical academic periods like midterms, finals, and enrollment windows.</w:t>
      </w:r>
    </w:p>
    <w:p>
      <w:pPr>
        <w:pStyle w:val="Heading2"/>
        <w:spacing w:after="100" w:before="240"/>
      </w:pPr>
      <w:r>
        <w:t xml:space="preserve">Scope</w:t>
      </w:r>
    </w:p>
    <w:p>
      <w:pPr>
        <w:spacing w:after="100"/>
      </w:pPr>
      <w:r>
        <w:t xml:space="preserve">Covers all changes to institutional technology systems (Banner, PowerSchool, Canvas, Blackboard, network infrastructure), academic policies, operational procedures, and organizational structure. Applies to K-12 districts and higher education institutions. Does not cover curriculum changes managed through the academic senate or faculty governance process.</w:t>
      </w:r>
    </w:p>
    <w:p>
      <w:pPr>
        <w:pStyle w:val="Heading2"/>
        <w:spacing w:after="100" w:before="240"/>
      </w:pPr>
      <w:r>
        <w:t xml:space="preserve">Prerequisites</w:t>
      </w:r>
    </w:p>
    <w:p>
      <w:pPr>
        <w:pStyle w:val="ListParagraph"/>
        <w:numPr>
          <w:ilvl w:val="0"/>
          <w:numId w:val="1"/>
        </w:numPr>
        <w:spacing w:after="40"/>
      </w:pPr>
      <w:r>
        <w:t xml:space="preserve">Change advisory board (CAB) established with representatives from IT, academics, and operations</w:t>
      </w:r>
    </w:p>
    <w:p>
      <w:pPr>
        <w:pStyle w:val="ListParagraph"/>
        <w:numPr>
          <w:ilvl w:val="0"/>
          <w:numId w:val="1"/>
        </w:numPr>
        <w:spacing w:after="40"/>
      </w:pPr>
      <w:r>
        <w:t xml:space="preserve">Change request form template available in the institution's ticketing or project management system</w:t>
      </w:r>
    </w:p>
    <w:p>
      <w:pPr>
        <w:pStyle w:val="ListParagraph"/>
        <w:numPr>
          <w:ilvl w:val="0"/>
          <w:numId w:val="1"/>
        </w:numPr>
        <w:spacing w:after="40"/>
      </w:pPr>
      <w:r>
        <w:t xml:space="preserve">System inventory documenting all production systems and their owners</w:t>
      </w:r>
    </w:p>
    <w:p>
      <w:pPr>
        <w:pStyle w:val="ListParagraph"/>
        <w:numPr>
          <w:ilvl w:val="0"/>
          <w:numId w:val="1"/>
        </w:numPr>
        <w:spacing w:after="40"/>
      </w:pPr>
      <w:r>
        <w:t xml:space="preserve">Academic calendar with blackout periods marked for change freezes</w:t>
      </w:r>
    </w:p>
    <w:p>
      <w:pPr>
        <w:pStyle w:val="ListParagraph"/>
        <w:numPr>
          <w:ilvl w:val="0"/>
          <w:numId w:val="1"/>
        </w:numPr>
        <w:spacing w:after="40"/>
      </w:pPr>
      <w:r>
        <w:t xml:space="preserve">Rollback procedures documented for all Tier 1 systems</w:t>
      </w:r>
    </w:p>
    <w:p>
      <w:pPr>
        <w:pStyle w:val="Heading2"/>
        <w:spacing w:after="100" w:before="240"/>
      </w:pPr>
      <w:r>
        <w:t xml:space="preserve">Roles &amp; Responsibilities</w:t>
      </w:r>
    </w:p>
    <w:p>
      <w:pPr>
        <w:spacing w:after="40" w:before="120"/>
      </w:pPr>
      <w:r>
        <w:rPr>
          <w:b/>
          <w:bCs/>
        </w:rPr>
        <w:t xml:space="preserve">Change Requester</w:t>
      </w:r>
    </w:p>
    <w:p>
      <w:pPr>
        <w:pStyle w:val="ListParagraph"/>
        <w:numPr>
          <w:ilvl w:val="0"/>
          <w:numId w:val="1"/>
        </w:numPr>
        <w:spacing w:after="40"/>
      </w:pPr>
      <w:r>
        <w:t xml:space="preserve">Submit the change request with business justification and technical details</w:t>
      </w:r>
    </w:p>
    <w:p>
      <w:pPr>
        <w:pStyle w:val="ListParagraph"/>
        <w:numPr>
          <w:ilvl w:val="0"/>
          <w:numId w:val="1"/>
        </w:numPr>
        <w:spacing w:after="40"/>
      </w:pPr>
      <w:r>
        <w:t xml:space="preserve">Provide impact assessment for affected users, systems, and academic operations</w:t>
      </w:r>
    </w:p>
    <w:p>
      <w:pPr>
        <w:pStyle w:val="ListParagraph"/>
        <w:numPr>
          <w:ilvl w:val="0"/>
          <w:numId w:val="1"/>
        </w:numPr>
        <w:spacing w:after="40"/>
      </w:pPr>
      <w:r>
        <w:t xml:space="preserve">Coordinate with affected departments before the CAB review</w:t>
      </w:r>
    </w:p>
    <w:p>
      <w:pPr>
        <w:spacing w:after="40" w:before="120"/>
      </w:pPr>
      <w:r>
        <w:rPr>
          <w:b/>
          <w:bCs/>
        </w:rPr>
        <w:t xml:space="preserve">Change Advisory Board Chair</w:t>
      </w:r>
    </w:p>
    <w:p>
      <w:pPr>
        <w:pStyle w:val="ListParagraph"/>
        <w:numPr>
          <w:ilvl w:val="0"/>
          <w:numId w:val="1"/>
        </w:numPr>
        <w:spacing w:after="40"/>
      </w:pPr>
      <w:r>
        <w:t xml:space="preserve">Schedule and facilitate CAB review meetings</w:t>
      </w:r>
    </w:p>
    <w:p>
      <w:pPr>
        <w:pStyle w:val="ListParagraph"/>
        <w:numPr>
          <w:ilvl w:val="0"/>
          <w:numId w:val="1"/>
        </w:numPr>
        <w:spacing w:after="40"/>
      </w:pPr>
      <w:r>
        <w:t xml:space="preserve">Ensure all required stakeholders review the change before approval</w:t>
      </w:r>
    </w:p>
    <w:p>
      <w:pPr>
        <w:pStyle w:val="ListParagraph"/>
        <w:numPr>
          <w:ilvl w:val="0"/>
          <w:numId w:val="1"/>
        </w:numPr>
        <w:spacing w:after="40"/>
      </w:pPr>
      <w:r>
        <w:t xml:space="preserve">Approve, defer, or reject change requests based on CAB consensus</w:t>
      </w:r>
    </w:p>
    <w:p>
      <w:pPr>
        <w:spacing w:after="40" w:before="120"/>
      </w:pPr>
      <w:r>
        <w:rPr>
          <w:b/>
          <w:bCs/>
        </w:rPr>
        <w:t xml:space="preserve">IT Implementation Lead</w:t>
      </w:r>
    </w:p>
    <w:p>
      <w:pPr>
        <w:pStyle w:val="ListParagraph"/>
        <w:numPr>
          <w:ilvl w:val="0"/>
          <w:numId w:val="1"/>
        </w:numPr>
        <w:spacing w:after="40"/>
      </w:pPr>
      <w:r>
        <w:t xml:space="preserve">Execute approved technical changes according to the implementation plan</w:t>
      </w:r>
    </w:p>
    <w:p>
      <w:pPr>
        <w:pStyle w:val="ListParagraph"/>
        <w:numPr>
          <w:ilvl w:val="0"/>
          <w:numId w:val="1"/>
        </w:numPr>
        <w:spacing w:after="40"/>
      </w:pPr>
      <w:r>
        <w:t xml:space="preserve">Verify system functionality after implementation</w:t>
      </w:r>
    </w:p>
    <w:p>
      <w:pPr>
        <w:pStyle w:val="ListParagraph"/>
        <w:numPr>
          <w:ilvl w:val="0"/>
          <w:numId w:val="1"/>
        </w:numPr>
        <w:spacing w:after="40"/>
      </w:pPr>
      <w:r>
        <w:t xml:space="preserve">Execute the rollback plan if the change causes issues</w:t>
      </w:r>
    </w:p>
    <w:p>
      <w:pPr>
        <w:spacing w:after="40" w:before="120"/>
      </w:pPr>
      <w:r>
        <w:rPr>
          <w:b/>
          <w:bCs/>
        </w:rPr>
        <w:t xml:space="preserve">Communications Coordinator</w:t>
      </w:r>
    </w:p>
    <w:p>
      <w:pPr>
        <w:pStyle w:val="ListParagraph"/>
        <w:numPr>
          <w:ilvl w:val="0"/>
          <w:numId w:val="1"/>
        </w:numPr>
        <w:spacing w:after="40"/>
      </w:pPr>
      <w:r>
        <w:t xml:space="preserve">Notify affected faculty, staff, and students about upcoming changes</w:t>
      </w:r>
    </w:p>
    <w:p>
      <w:pPr>
        <w:pStyle w:val="ListParagraph"/>
        <w:numPr>
          <w:ilvl w:val="0"/>
          <w:numId w:val="1"/>
        </w:numPr>
        <w:spacing w:after="40"/>
      </w:pPr>
      <w:r>
        <w:t xml:space="preserve">Provide training materials or guides when changes affect user workflows</w:t>
      </w:r>
    </w:p>
    <w:p>
      <w:pPr>
        <w:pStyle w:val="Heading2"/>
        <w:spacing w:after="100" w:before="240"/>
      </w:pPr>
      <w:r>
        <w:t xml:space="preserve">Procedure</w:t>
      </w:r>
    </w:p>
    <w:p>
      <w:pPr>
        <w:pStyle w:val="Heading3"/>
        <w:spacing w:after="40" w:before="160"/>
      </w:pPr>
      <w:r>
        <w:t xml:space="preserve">Step 1: Submit the change request</w:t>
      </w:r>
    </w:p>
    <w:p>
      <w:pPr>
        <w:spacing w:after="100"/>
      </w:pPr>
      <w:r>
        <w:t xml:space="preserve">The person requesting the change submits a formal request that includes: what is being changed, why it is needed, which systems and users are affected, the proposed timeline, and what happens if the change is not made. Every change — from a Banner module upgrade to a new attendance policy — gets a written request. No verbal approvals.</w:t>
      </w:r>
    </w:p>
    <w:p>
      <w:pPr>
        <w:pStyle w:val="ListParagraph"/>
        <w:numPr>
          <w:ilvl w:val="1"/>
          <w:numId w:val="1"/>
        </w:numPr>
        <w:spacing w:after="40"/>
      </w:pPr>
      <w:r>
        <w:t xml:space="preserve">Fill out the change request form with a clear description of the proposed change</w:t>
      </w:r>
    </w:p>
    <w:p>
      <w:pPr>
        <w:pStyle w:val="ListParagraph"/>
        <w:numPr>
          <w:ilvl w:val="1"/>
          <w:numId w:val="1"/>
        </w:numPr>
        <w:spacing w:after="40"/>
      </w:pPr>
      <w:r>
        <w:t xml:space="preserve">Document the business justification: why this change is needed now</w:t>
      </w:r>
    </w:p>
    <w:p>
      <w:pPr>
        <w:pStyle w:val="ListParagraph"/>
        <w:numPr>
          <w:ilvl w:val="1"/>
          <w:numId w:val="1"/>
        </w:numPr>
        <w:spacing w:after="40"/>
      </w:pPr>
      <w:r>
        <w:t xml:space="preserve">List all affected systems, departments, and user groups</w:t>
      </w:r>
    </w:p>
    <w:p>
      <w:pPr>
        <w:pStyle w:val="ListParagraph"/>
        <w:numPr>
          <w:ilvl w:val="1"/>
          <w:numId w:val="1"/>
        </w:numPr>
        <w:spacing w:after="40"/>
      </w:pPr>
      <w:r>
        <w:t xml:space="preserve">Propose an implementation date and time that avoids academic blackout periods</w:t>
      </w:r>
    </w:p>
    <w:p>
      <w:pPr>
        <w:pStyle w:val="ListParagraph"/>
        <w:numPr>
          <w:ilvl w:val="1"/>
          <w:numId w:val="1"/>
        </w:numPr>
        <w:spacing w:after="40"/>
      </w:pPr>
      <w:r>
        <w:t xml:space="preserve">Attach any supporting documentation: vendor release notes, policy drafts, etc.</w:t>
      </w:r>
    </w:p>
    <w:p>
      <w:pPr>
        <w:spacing w:after="100"/>
      </w:pPr>
      <w:r>
        <w:rPr>
          <w:i/>
          <w:iCs/>
          <w:color w:val="1F7A4D"/>
        </w:rPr>
        <w:t xml:space="preserve">Tip: Write the change request as if the reader knows nothing about your department. The CAB includes members from IT, academics, and operations — they need enough context to evaluate the impact without asking 10 follow-up questions.</w:t>
      </w:r>
    </w:p>
    <w:p>
      <w:pPr>
        <w:pStyle w:val="Heading3"/>
        <w:spacing w:after="40" w:before="160"/>
      </w:pPr>
      <w:r>
        <w:t xml:space="preserve">Step 2: Assess the impact and risk</w:t>
      </w:r>
    </w:p>
    <w:p>
      <w:pPr>
        <w:spacing w:after="100"/>
      </w:pPr>
      <w:r>
        <w:t xml:space="preserve">The change requester and the system owner evaluate the impact of the proposed change. For system changes, assess: Will this affect student-facing services? Does it touch FERPA-protected data? Could it disrupt instruction during class hours? For policy changes, assess: Which departments are affected? Does it require retraining? Rate the risk as low, medium, or high.</w:t>
      </w:r>
    </w:p>
    <w:p>
      <w:pPr>
        <w:pStyle w:val="ListParagraph"/>
        <w:numPr>
          <w:ilvl w:val="1"/>
          <w:numId w:val="1"/>
        </w:numPr>
        <w:spacing w:after="40"/>
      </w:pPr>
      <w:r>
        <w:t xml:space="preserve">Identify all systems and integrations that could be affected by the change</w:t>
      </w:r>
    </w:p>
    <w:p>
      <w:pPr>
        <w:pStyle w:val="ListParagraph"/>
        <w:numPr>
          <w:ilvl w:val="1"/>
          <w:numId w:val="1"/>
        </w:numPr>
        <w:spacing w:after="40"/>
      </w:pPr>
      <w:r>
        <w:t xml:space="preserve">Determine whether FERPA-protected student data is involved</w:t>
      </w:r>
    </w:p>
    <w:p>
      <w:pPr>
        <w:pStyle w:val="ListParagraph"/>
        <w:numPr>
          <w:ilvl w:val="1"/>
          <w:numId w:val="1"/>
        </w:numPr>
        <w:spacing w:after="40"/>
      </w:pPr>
      <w:r>
        <w:t xml:space="preserve">Assess the impact on instruction, registration, grading, and financial aid</w:t>
      </w:r>
    </w:p>
    <w:p>
      <w:pPr>
        <w:pStyle w:val="ListParagraph"/>
        <w:numPr>
          <w:ilvl w:val="1"/>
          <w:numId w:val="1"/>
        </w:numPr>
        <w:spacing w:after="40"/>
      </w:pPr>
      <w:r>
        <w:t xml:space="preserve">Rate the risk level: low (no user impact), medium (limited disruption), high (service outage or data risk)</w:t>
      </w:r>
    </w:p>
    <w:p>
      <w:pPr>
        <w:pStyle w:val="ListParagraph"/>
        <w:numPr>
          <w:ilvl w:val="1"/>
          <w:numId w:val="1"/>
        </w:numPr>
        <w:spacing w:after="40"/>
      </w:pPr>
      <w:r>
        <w:t xml:space="preserve">Document the rollback plan in case the change needs to be reversed</w:t>
      </w:r>
    </w:p>
    <w:p>
      <w:pPr>
        <w:spacing w:after="100"/>
      </w:pPr>
      <w:r>
        <w:rPr>
          <w:i/>
          <w:iCs/>
          <w:color w:val="B45309"/>
        </w:rPr>
        <w:t xml:space="preserve">Warning: Any change that touches Ellucian Banner, PowerSchool, or other student information systems is automatically medium-risk or higher. Student data changes during registration or grading periods should be treated as high-risk regardless of the technical scope.</w:t>
      </w:r>
    </w:p>
    <w:p>
      <w:pPr>
        <w:pStyle w:val="Heading3"/>
        <w:spacing w:after="40" w:before="160"/>
      </w:pPr>
      <w:r>
        <w:t xml:space="preserve">Step 3: Review the academic calendar for blackout periods</w:t>
      </w:r>
    </w:p>
    <w:p>
      <w:pPr>
        <w:spacing w:after="100"/>
      </w:pPr>
      <w:r>
        <w:t xml:space="preserve">Before scheduling the implementation, check the academic calendar. Most education institutions enforce change freezes during registration, midterms, finals, and grade submission windows. No non-emergency changes to student-facing systems during these periods. The CAB chair maintains the blackout calendar and has final authority on exceptions.</w:t>
      </w:r>
    </w:p>
    <w:p>
      <w:pPr>
        <w:pStyle w:val="ListParagraph"/>
        <w:numPr>
          <w:ilvl w:val="1"/>
          <w:numId w:val="1"/>
        </w:numPr>
        <w:spacing w:after="40"/>
      </w:pPr>
      <w:r>
        <w:t xml:space="preserve">Check the current academic calendar for upcoming blackout periods</w:t>
      </w:r>
    </w:p>
    <w:p>
      <w:pPr>
        <w:pStyle w:val="ListParagraph"/>
        <w:numPr>
          <w:ilvl w:val="1"/>
          <w:numId w:val="1"/>
        </w:numPr>
        <w:spacing w:after="40"/>
      </w:pPr>
      <w:r>
        <w:t xml:space="preserve">Verify the proposed implementation date does not fall within a freeze window</w:t>
      </w:r>
    </w:p>
    <w:p>
      <w:pPr>
        <w:pStyle w:val="ListParagraph"/>
        <w:numPr>
          <w:ilvl w:val="1"/>
          <w:numId w:val="1"/>
        </w:numPr>
        <w:spacing w:after="40"/>
      </w:pPr>
      <w:r>
        <w:t xml:space="preserve">If the change is urgent and falls in a blackout period, document the exception request with justification</w:t>
      </w:r>
    </w:p>
    <w:p>
      <w:pPr>
        <w:pStyle w:val="ListParagraph"/>
        <w:numPr>
          <w:ilvl w:val="1"/>
          <w:numId w:val="1"/>
        </w:numPr>
        <w:spacing w:after="40"/>
      </w:pPr>
      <w:r>
        <w:t xml:space="preserve">Get CAB chair approval for any blackout period exceptions</w:t>
      </w:r>
    </w:p>
    <w:p>
      <w:pPr>
        <w:pStyle w:val="Heading3"/>
        <w:spacing w:after="40" w:before="160"/>
      </w:pPr>
      <w:r>
        <w:t xml:space="preserve">Step 4: Present the change to the CAB for review</w:t>
      </w:r>
    </w:p>
    <w:p>
      <w:pPr>
        <w:spacing w:after="100"/>
      </w:pPr>
      <w:r>
        <w:t xml:space="preserve">The change requester presents the request at the next CAB meeting (or an emergency session for high-priority changes). The CAB reviews the impact assessment, risk rating, implementation plan, and rollback procedure. They approve, defer, request modifications, or reject the change. The decision and rationale are documented in the ticketing system.</w:t>
      </w:r>
    </w:p>
    <w:p>
      <w:pPr>
        <w:pStyle w:val="ListParagraph"/>
        <w:numPr>
          <w:ilvl w:val="1"/>
          <w:numId w:val="1"/>
        </w:numPr>
        <w:spacing w:after="40"/>
      </w:pPr>
      <w:r>
        <w:t xml:space="preserve">Present the change request, impact assessment, and implementation plan to the CAB</w:t>
      </w:r>
    </w:p>
    <w:p>
      <w:pPr>
        <w:pStyle w:val="ListParagraph"/>
        <w:numPr>
          <w:ilvl w:val="1"/>
          <w:numId w:val="1"/>
        </w:numPr>
        <w:spacing w:after="40"/>
      </w:pPr>
      <w:r>
        <w:t xml:space="preserve">Address questions from CAB members representing IT, academics, and operations</w:t>
      </w:r>
    </w:p>
    <w:p>
      <w:pPr>
        <w:pStyle w:val="ListParagraph"/>
        <w:numPr>
          <w:ilvl w:val="1"/>
          <w:numId w:val="1"/>
        </w:numPr>
        <w:spacing w:after="40"/>
      </w:pPr>
      <w:r>
        <w:t xml:space="preserve">Collect approval votes or modification requests</w:t>
      </w:r>
    </w:p>
    <w:p>
      <w:pPr>
        <w:pStyle w:val="ListParagraph"/>
        <w:numPr>
          <w:ilvl w:val="1"/>
          <w:numId w:val="1"/>
        </w:numPr>
        <w:spacing w:after="40"/>
      </w:pPr>
      <w:r>
        <w:t xml:space="preserve">Document the CAB decision and any conditions attached to the approval</w:t>
      </w:r>
    </w:p>
    <w:p>
      <w:pPr>
        <w:pStyle w:val="Heading3"/>
        <w:spacing w:after="40" w:before="160"/>
      </w:pPr>
      <w:r>
        <w:t xml:space="preserve">Step 5: Notify affected stakeholders</w:t>
      </w:r>
    </w:p>
    <w:p>
      <w:pPr>
        <w:spacing w:after="100"/>
      </w:pPr>
      <w:r>
        <w:t xml:space="preserve">Once approved, the communications coordinator notifies all affected users. For system changes, send an email to faculty and staff at least 5 business days before implementation. Include what is changing, when the change will happen, expected downtime (if any), and what users need to do differently afterward. For major changes, schedule a training session.</w:t>
      </w:r>
    </w:p>
    <w:p>
      <w:pPr>
        <w:pStyle w:val="ListParagraph"/>
        <w:numPr>
          <w:ilvl w:val="1"/>
          <w:numId w:val="1"/>
        </w:numPr>
        <w:spacing w:after="40"/>
      </w:pPr>
      <w:r>
        <w:t xml:space="preserve">Draft the change notification using the approved communication template</w:t>
      </w:r>
    </w:p>
    <w:p>
      <w:pPr>
        <w:pStyle w:val="ListParagraph"/>
        <w:numPr>
          <w:ilvl w:val="1"/>
          <w:numId w:val="1"/>
        </w:numPr>
        <w:spacing w:after="40"/>
      </w:pPr>
      <w:r>
        <w:t xml:space="preserve">Send to all affected user groups at least 5 business days before implementation</w:t>
      </w:r>
    </w:p>
    <w:p>
      <w:pPr>
        <w:pStyle w:val="ListParagraph"/>
        <w:numPr>
          <w:ilvl w:val="1"/>
          <w:numId w:val="1"/>
        </w:numPr>
        <w:spacing w:after="40"/>
      </w:pPr>
      <w:r>
        <w:t xml:space="preserve">Post the notification on the campus IT status page or intranet</w:t>
      </w:r>
    </w:p>
    <w:p>
      <w:pPr>
        <w:pStyle w:val="ListParagraph"/>
        <w:numPr>
          <w:ilvl w:val="1"/>
          <w:numId w:val="1"/>
        </w:numPr>
        <w:spacing w:after="40"/>
      </w:pPr>
      <w:r>
        <w:t xml:space="preserve">Schedule training sessions if the change alters user workflows</w:t>
      </w:r>
    </w:p>
    <w:p>
      <w:pPr>
        <w:pStyle w:val="Heading3"/>
        <w:spacing w:after="40" w:before="160"/>
      </w:pPr>
      <w:r>
        <w:t xml:space="preserve">Step 6: Execute the change</w:t>
      </w:r>
    </w:p>
    <w:p>
      <w:pPr>
        <w:spacing w:after="100"/>
      </w:pPr>
      <w:r>
        <w:t xml:space="preserve">The IT implementation lead (for system changes) or the responsible department (for process changes) executes the change according to the approved plan. System changes should be implemented during low-usage periods — evenings or weekends for campus systems. Take a pre-change backup of any affected databases before starting.</w:t>
      </w:r>
    </w:p>
    <w:p>
      <w:pPr>
        <w:pStyle w:val="ListParagraph"/>
        <w:numPr>
          <w:ilvl w:val="1"/>
          <w:numId w:val="1"/>
        </w:numPr>
        <w:spacing w:after="40"/>
      </w:pPr>
      <w:r>
        <w:t xml:space="preserve">Take a full backup of affected systems before starting the change</w:t>
      </w:r>
    </w:p>
    <w:p>
      <w:pPr>
        <w:pStyle w:val="ListParagraph"/>
        <w:numPr>
          <w:ilvl w:val="1"/>
          <w:numId w:val="1"/>
        </w:numPr>
        <w:spacing w:after="40"/>
      </w:pPr>
      <w:r>
        <w:t xml:space="preserve">Execute the change steps as documented in the implementation plan</w:t>
      </w:r>
    </w:p>
    <w:p>
      <w:pPr>
        <w:pStyle w:val="ListParagraph"/>
        <w:numPr>
          <w:ilvl w:val="1"/>
          <w:numId w:val="1"/>
        </w:numPr>
        <w:spacing w:after="40"/>
      </w:pPr>
      <w:r>
        <w:t xml:space="preserve">Verify each step before proceeding to the next</w:t>
      </w:r>
    </w:p>
    <w:p>
      <w:pPr>
        <w:pStyle w:val="ListParagraph"/>
        <w:numPr>
          <w:ilvl w:val="1"/>
          <w:numId w:val="1"/>
        </w:numPr>
        <w:spacing w:after="40"/>
      </w:pPr>
      <w:r>
        <w:t xml:space="preserve">Document any deviations from the planned procedure</w:t>
      </w:r>
    </w:p>
    <w:p>
      <w:pPr>
        <w:spacing w:after="100"/>
      </w:pPr>
      <w:r>
        <w:rPr>
          <w:i/>
          <w:iCs/>
          <w:color w:val="B45309"/>
        </w:rPr>
        <w:t xml:space="preserve">Warning: Always take a backup before changing Banner, PowerSchool, or any student information system. If the change fails and you cannot roll back, the backup is your recovery path.</w:t>
      </w:r>
    </w:p>
    <w:p>
      <w:pPr>
        <w:pStyle w:val="Heading3"/>
        <w:spacing w:after="40" w:before="160"/>
      </w:pPr>
      <w:r>
        <w:t xml:space="preserve">Step 7: Verify the change and test</w:t>
      </w:r>
    </w:p>
    <w:p>
      <w:pPr>
        <w:spacing w:after="100"/>
      </w:pPr>
      <w:r>
        <w:t xml:space="preserve">After implementation, verify that the change works as expected. For system changes, test the specific functionality that was modified and run smoke tests on related features. Verify that Canvas, Banner, and other integrated systems are still functioning normally. For process changes, confirm that the new procedure documentation is published and accessible.</w:t>
      </w:r>
    </w:p>
    <w:p>
      <w:pPr>
        <w:pStyle w:val="ListParagraph"/>
        <w:numPr>
          <w:ilvl w:val="1"/>
          <w:numId w:val="1"/>
        </w:numPr>
        <w:spacing w:after="40"/>
      </w:pPr>
      <w:r>
        <w:t xml:space="preserve">Test the specific functionality that was changed</w:t>
      </w:r>
    </w:p>
    <w:p>
      <w:pPr>
        <w:pStyle w:val="ListParagraph"/>
        <w:numPr>
          <w:ilvl w:val="1"/>
          <w:numId w:val="1"/>
        </w:numPr>
        <w:spacing w:after="40"/>
      </w:pPr>
      <w:r>
        <w:t xml:space="preserve">Run smoke tests on related systems and integrations</w:t>
      </w:r>
    </w:p>
    <w:p>
      <w:pPr>
        <w:pStyle w:val="ListParagraph"/>
        <w:numPr>
          <w:ilvl w:val="1"/>
          <w:numId w:val="1"/>
        </w:numPr>
        <w:spacing w:after="40"/>
      </w:pPr>
      <w:r>
        <w:t xml:space="preserve">Verify that FERPA-protected data access is unaffected</w:t>
      </w:r>
    </w:p>
    <w:p>
      <w:pPr>
        <w:pStyle w:val="ListParagraph"/>
        <w:numPr>
          <w:ilvl w:val="1"/>
          <w:numId w:val="1"/>
        </w:numPr>
        <w:spacing w:after="40"/>
      </w:pPr>
      <w:r>
        <w:t xml:space="preserve">Confirm student-facing services are operational</w:t>
      </w:r>
    </w:p>
    <w:p>
      <w:pPr>
        <w:pStyle w:val="ListParagraph"/>
        <w:numPr>
          <w:ilvl w:val="1"/>
          <w:numId w:val="1"/>
        </w:numPr>
        <w:spacing w:after="40"/>
      </w:pPr>
      <w:r>
        <w:t xml:space="preserve">Check monitoring dashboards for errors or performance degradation</w:t>
      </w:r>
    </w:p>
    <w:p>
      <w:pPr>
        <w:pStyle w:val="Heading3"/>
        <w:spacing w:after="40" w:before="160"/>
      </w:pPr>
      <w:r>
        <w:t xml:space="preserve">Step 8: Send completion notification</w:t>
      </w:r>
    </w:p>
    <w:p>
      <w:pPr>
        <w:spacing w:after="100"/>
      </w:pPr>
      <w:r>
        <w:t xml:space="preserve">Notify all stakeholders that the change is complete. Confirm whether it was successful or if the rollback was executed. If the change altered user workflows, remind users where to find the updated documentation or training materials. Update the change request ticket with the final status.</w:t>
      </w:r>
    </w:p>
    <w:p>
      <w:pPr>
        <w:pStyle w:val="ListParagraph"/>
        <w:numPr>
          <w:ilvl w:val="1"/>
          <w:numId w:val="1"/>
        </w:numPr>
        <w:spacing w:after="40"/>
      </w:pPr>
      <w:r>
        <w:t xml:space="preserve">Send completion notification to all affected user groups</w:t>
      </w:r>
    </w:p>
    <w:p>
      <w:pPr>
        <w:pStyle w:val="ListParagraph"/>
        <w:numPr>
          <w:ilvl w:val="1"/>
          <w:numId w:val="1"/>
        </w:numPr>
        <w:spacing w:after="40"/>
      </w:pPr>
      <w:r>
        <w:t xml:space="preserve">Update the campus IT status page</w:t>
      </w:r>
    </w:p>
    <w:p>
      <w:pPr>
        <w:pStyle w:val="ListParagraph"/>
        <w:numPr>
          <w:ilvl w:val="1"/>
          <w:numId w:val="1"/>
        </w:numPr>
        <w:spacing w:after="40"/>
      </w:pPr>
      <w:r>
        <w:t xml:space="preserve">Close the change request ticket with the final outcome and any notes</w:t>
      </w:r>
    </w:p>
    <w:p>
      <w:pPr>
        <w:pStyle w:val="ListParagraph"/>
        <w:numPr>
          <w:ilvl w:val="1"/>
          <w:numId w:val="1"/>
        </w:numPr>
        <w:spacing w:after="40"/>
      </w:pPr>
      <w:r>
        <w:t xml:space="preserve">If rollback was needed, document why and schedule a revised approach</w:t>
      </w:r>
    </w:p>
    <w:p>
      <w:pPr>
        <w:pStyle w:val="Heading3"/>
        <w:spacing w:after="40" w:before="160"/>
      </w:pPr>
      <w:r>
        <w:t xml:space="preserve">Step 9: Post-implementation review</w:t>
      </w:r>
    </w:p>
    <w:p>
      <w:pPr>
        <w:spacing w:after="100"/>
      </w:pPr>
      <w:r>
        <w:t xml:space="preserve">For medium and high-risk changes, conduct a brief post-implementation review within 5 business days. Assess whether the change achieved its objective, whether any unexpected issues arose, and what can be improved for future changes. Document the review in the change request ticket.</w:t>
      </w:r>
    </w:p>
    <w:p>
      <w:pPr>
        <w:pStyle w:val="ListParagraph"/>
        <w:numPr>
          <w:ilvl w:val="1"/>
          <w:numId w:val="1"/>
        </w:numPr>
        <w:spacing w:after="40"/>
      </w:pPr>
      <w:r>
        <w:t xml:space="preserve">Gather feedback from the implementation team and affected users</w:t>
      </w:r>
    </w:p>
    <w:p>
      <w:pPr>
        <w:pStyle w:val="ListParagraph"/>
        <w:numPr>
          <w:ilvl w:val="1"/>
          <w:numId w:val="1"/>
        </w:numPr>
        <w:spacing w:after="40"/>
      </w:pPr>
      <w:r>
        <w:t xml:space="preserve">Assess whether the change met its stated objective</w:t>
      </w:r>
    </w:p>
    <w:p>
      <w:pPr>
        <w:pStyle w:val="ListParagraph"/>
        <w:numPr>
          <w:ilvl w:val="1"/>
          <w:numId w:val="1"/>
        </w:numPr>
        <w:spacing w:after="40"/>
      </w:pPr>
      <w:r>
        <w:t xml:space="preserve">Document any unexpected issues and how they were resolved</w:t>
      </w:r>
    </w:p>
    <w:p>
      <w:pPr>
        <w:pStyle w:val="ListParagraph"/>
        <w:numPr>
          <w:ilvl w:val="1"/>
          <w:numId w:val="1"/>
        </w:numPr>
        <w:spacing w:after="40"/>
      </w:pPr>
      <w:r>
        <w:t xml:space="preserve">Identify lessons learned for future changes</w:t>
      </w:r>
    </w:p>
    <w:p>
      <w:pPr>
        <w:pStyle w:val="Heading2"/>
        <w:spacing w:after="100" w:before="240"/>
      </w:pPr>
      <w:r>
        <w:t xml:space="preserve">Completion Checklist</w:t>
      </w:r>
    </w:p>
    <w:p>
      <w:pPr>
        <w:spacing w:after="40"/>
      </w:pPr>
      <w:r>
        <w:t xml:space="preserve">☐  Change request submitted with business justification and impact assessment</w:t>
      </w:r>
    </w:p>
    <w:p>
      <w:pPr>
        <w:spacing w:after="40"/>
      </w:pPr>
      <w:r>
        <w:t xml:space="preserve">☐  Risk level assigned (low, medium, high)</w:t>
      </w:r>
    </w:p>
    <w:p>
      <w:pPr>
        <w:spacing w:after="40"/>
      </w:pPr>
      <w:r>
        <w:t xml:space="preserve">☐  Academic calendar checked for blackout periods</w:t>
      </w:r>
    </w:p>
    <w:p>
      <w:pPr>
        <w:spacing w:after="40"/>
      </w:pPr>
      <w:r>
        <w:t xml:space="preserve">☐  CAB review completed with documented decision</w:t>
      </w:r>
    </w:p>
    <w:p>
      <w:pPr>
        <w:spacing w:after="40"/>
      </w:pPr>
      <w:r>
        <w:t xml:space="preserve">☐  Affected stakeholders notified at least 5 business days in advance</w:t>
      </w:r>
    </w:p>
    <w:p>
      <w:pPr>
        <w:spacing w:after="40"/>
      </w:pPr>
      <w:r>
        <w:t xml:space="preserve">☐  Pre-change backup taken for affected systems</w:t>
      </w:r>
    </w:p>
    <w:p>
      <w:pPr>
        <w:spacing w:after="40"/>
      </w:pPr>
      <w:r>
        <w:t xml:space="preserve">☐  Change executed according to the approved implementation plan</w:t>
      </w:r>
    </w:p>
    <w:p>
      <w:pPr>
        <w:spacing w:after="40"/>
      </w:pPr>
      <w:r>
        <w:t xml:space="preserve">☐  Post-change verification and testing completed</w:t>
      </w:r>
    </w:p>
    <w:p>
      <w:pPr>
        <w:spacing w:after="40"/>
      </w:pPr>
      <w:r>
        <w:t xml:space="preserve">☐  Student-facing services confirmed operational</w:t>
      </w:r>
    </w:p>
    <w:p>
      <w:pPr>
        <w:spacing w:after="40"/>
      </w:pPr>
      <w:r>
        <w:t xml:space="preserve">☐  Completion notification sent to all stakeholders</w:t>
      </w:r>
    </w:p>
    <w:p>
      <w:pPr>
        <w:spacing w:after="40"/>
      </w:pPr>
      <w:r>
        <w:t xml:space="preserve">☐  Change request ticket closed with final status</w:t>
      </w:r>
    </w:p>
    <w:p>
      <w:pPr>
        <w:spacing w:after="40"/>
      </w:pPr>
      <w:r>
        <w:t xml:space="preserve">☐  Post-implementation review completed (medium and high-risk changes)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success rate</w:t>
            </w:r>
          </w:p>
        </w:tc>
        <w:tc>
          <w:tcPr>
            <w:tcMar>
              <w:top w:type="dxa" w:w="60"/>
              <w:left w:type="dxa" w:w="120"/>
              <w:bottom w:type="dxa" w:w="60"/>
              <w:right w:type="dxa" w:w="120"/>
            </w:tcMar>
          </w:tcPr>
          <w:p>
            <w:r>
              <w:rPr>
                <w:b w:val="false"/>
                <w:bCs w:val="false"/>
              </w:rPr>
              <w:t xml:space="preserve">95% of changes implemented without rollback</w:t>
            </w:r>
          </w:p>
        </w:tc>
      </w:tr>
      <w:tr>
        <w:trPr>
          <w:tblHeader w:val="false"/>
        </w:trPr>
        <w:tc>
          <w:tcPr>
            <w:tcMar>
              <w:top w:type="dxa" w:w="60"/>
              <w:left w:type="dxa" w:w="120"/>
              <w:bottom w:type="dxa" w:w="60"/>
              <w:right w:type="dxa" w:w="120"/>
            </w:tcMar>
          </w:tcPr>
          <w:p>
            <w:r>
              <w:rPr>
                <w:b w:val="false"/>
                <w:bCs w:val="false"/>
              </w:rPr>
              <w:t xml:space="preserve">Unauthorized changes</w:t>
            </w:r>
          </w:p>
        </w:tc>
        <w:tc>
          <w:tcPr>
            <w:tcMar>
              <w:top w:type="dxa" w:w="60"/>
              <w:left w:type="dxa" w:w="120"/>
              <w:bottom w:type="dxa" w:w="60"/>
              <w:right w:type="dxa" w:w="120"/>
            </w:tcMar>
          </w:tcPr>
          <w:p>
            <w:r>
              <w:rPr>
                <w:b w:val="false"/>
                <w:bCs w:val="false"/>
              </w:rPr>
              <w:t xml:space="preserve">Zero changes implemented without CAB approval</w:t>
            </w:r>
          </w:p>
        </w:tc>
      </w:tr>
      <w:tr>
        <w:trPr>
          <w:tblHeader w:val="false"/>
        </w:trPr>
        <w:tc>
          <w:tcPr>
            <w:tcMar>
              <w:top w:type="dxa" w:w="60"/>
              <w:left w:type="dxa" w:w="120"/>
              <w:bottom w:type="dxa" w:w="60"/>
              <w:right w:type="dxa" w:w="120"/>
            </w:tcMar>
          </w:tcPr>
          <w:p>
            <w:r>
              <w:rPr>
                <w:b w:val="false"/>
                <w:bCs w:val="false"/>
              </w:rPr>
              <w:t xml:space="preserve">Blackout period violations</w:t>
            </w:r>
          </w:p>
        </w:tc>
        <w:tc>
          <w:tcPr>
            <w:tcMar>
              <w:top w:type="dxa" w:w="60"/>
              <w:left w:type="dxa" w:w="120"/>
              <w:bottom w:type="dxa" w:w="60"/>
              <w:right w:type="dxa" w:w="120"/>
            </w:tcMar>
          </w:tcPr>
          <w:p>
            <w:r>
              <w:rPr>
                <w:b w:val="false"/>
                <w:bCs w:val="false"/>
              </w:rPr>
              <w:t xml:space="preserve">Zero non-emergency changes during academic blackout periods</w:t>
            </w:r>
          </w:p>
        </w:tc>
      </w:tr>
      <w:tr>
        <w:trPr>
          <w:tblHeader w:val="false"/>
        </w:trPr>
        <w:tc>
          <w:tcPr>
            <w:tcMar>
              <w:top w:type="dxa" w:w="60"/>
              <w:left w:type="dxa" w:w="120"/>
              <w:bottom w:type="dxa" w:w="60"/>
              <w:right w:type="dxa" w:w="120"/>
            </w:tcMar>
          </w:tcPr>
          <w:p>
            <w:r>
              <w:rPr>
                <w:b w:val="false"/>
                <w:bCs w:val="false"/>
              </w:rPr>
              <w:t xml:space="preserve">Stakeholder notification compliance</w:t>
            </w:r>
          </w:p>
        </w:tc>
        <w:tc>
          <w:tcPr>
            <w:tcMar>
              <w:top w:type="dxa" w:w="60"/>
              <w:left w:type="dxa" w:w="120"/>
              <w:bottom w:type="dxa" w:w="60"/>
              <w:right w:type="dxa" w:w="120"/>
            </w:tcMar>
          </w:tcPr>
          <w:p>
            <w:r>
              <w:rPr>
                <w:b w:val="false"/>
                <w:bCs w:val="false"/>
              </w:rPr>
              <w:t xml:space="preserve">100% of changes communicated 5+ business days in advance</w:t>
            </w:r>
          </w:p>
        </w:tc>
      </w:tr>
    </w:tbl>
    <w:p>
      <w:pPr>
        <w:pStyle w:val="Heading2"/>
        <w:spacing w:after="100" w:before="240"/>
      </w:pPr>
      <w:r>
        <w:t xml:space="preserve">Revision Schedule</w:t>
      </w:r>
    </w:p>
    <w:p>
      <w:pPr>
        <w:spacing w:after="100"/>
      </w:pPr>
      <w:r>
        <w:t xml:space="preserve">Annually before the start of the academic year, or after any change-related incident that disrupted campus operations.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Change Management Standard Operating Procedure Template</dc:title>
  <dc:creator>Glyde</dc:creator>
  <dc:description>Free change management SOP template for education operations teams. Step-by-step procedures for managing system and process changes at schools and universities.</dc:description>
  <cp:lastModifiedBy>Un-named</cp:lastModifiedBy>
  <cp:revision>1</cp:revision>
  <dcterms:created xsi:type="dcterms:W3CDTF">2026-07-22T08:34:35.067Z</dcterms:created>
  <dcterms:modified xsi:type="dcterms:W3CDTF">2026-07-22T08:34:35.067Z</dcterms:modified>
</cp:coreProperties>
</file>

<file path=docProps/custom.xml><?xml version="1.0" encoding="utf-8"?>
<Properties xmlns="http://schemas.openxmlformats.org/officeDocument/2006/custom-properties" xmlns:vt="http://schemas.openxmlformats.org/officeDocument/2006/docPropsVTypes"/>
</file>