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Financial Services Change Management Standard Operating Procedure Template</w:t>
      </w:r>
    </w:p>
    <w:p>
      <w:pPr>
        <w:spacing w:after="200"/>
      </w:pPr>
      <w:r>
        <w:rPr>
          <w:i/>
          <w:iCs/>
          <w:color w:val="6B7280"/>
        </w:rPr>
        <w:t xml:space="preserve">Free change management SOP template for financial services. Covers change requests, risk assessment, CAB review, rollback plans, and regulatory compliance.</w:t>
      </w:r>
    </w:p>
    <w:p>
      <w:pPr>
        <w:pStyle w:val="Heading2"/>
        <w:spacing w:after="100" w:before="240"/>
      </w:pPr>
      <w:r>
        <w:t xml:space="preserve">Purpose</w:t>
      </w:r>
    </w:p>
    <w:p>
      <w:pPr>
        <w:spacing w:after="100"/>
      </w:pPr>
      <w:r>
        <w:t xml:space="preserve">Establish a controlled process for requesting, reviewing, approving, and implementing changes to systems, processes, and policies within your financial services organization. This SOP ensures that every change — from a core banking system patch to a new product launch — is assessed for risk, approved by the appropriate stakeholders, tested before deployment, and backed by a rollback plan. It also creates the audit trail that regulators expect to see during examinations.</w:t>
      </w:r>
    </w:p>
    <w:p>
      <w:pPr>
        <w:pStyle w:val="Heading2"/>
        <w:spacing w:after="100" w:before="240"/>
      </w:pPr>
      <w:r>
        <w:t xml:space="preserve">Scope</w:t>
      </w:r>
    </w:p>
    <w:p>
      <w:pPr>
        <w:spacing w:after="100"/>
      </w:pPr>
      <w:r>
        <w:t xml:space="preserve">Covers all changes to production systems, business processes, and regulatory policies at banks, credit unions, investment firms, and fintech companies. Includes IT system changes, process changes, and policy updates. Applies to changes of all sizes — from minor configuration updates to major platform migrations. Does not cover emergency changes, which follow a separate expedited process documented in the incident response SOP.</w:t>
      </w:r>
    </w:p>
    <w:p>
      <w:pPr>
        <w:pStyle w:val="Heading2"/>
        <w:spacing w:after="100" w:before="240"/>
      </w:pPr>
      <w:r>
        <w:t xml:space="preserve">Prerequisites</w:t>
      </w:r>
    </w:p>
    <w:p>
      <w:pPr>
        <w:pStyle w:val="ListParagraph"/>
        <w:numPr>
          <w:ilvl w:val="0"/>
          <w:numId w:val="1"/>
        </w:numPr>
        <w:spacing w:after="40"/>
      </w:pPr>
      <w:r>
        <w:t xml:space="preserve">Change management ticketing system configured (ServiceNow, Jira, or equivalent)</w:t>
      </w:r>
    </w:p>
    <w:p>
      <w:pPr>
        <w:pStyle w:val="ListParagraph"/>
        <w:numPr>
          <w:ilvl w:val="0"/>
          <w:numId w:val="1"/>
        </w:numPr>
        <w:spacing w:after="40"/>
      </w:pPr>
      <w:r>
        <w:t xml:space="preserve">Change Advisory Board (CAB) established with representatives from IT, compliance, operations, and business units</w:t>
      </w:r>
    </w:p>
    <w:p>
      <w:pPr>
        <w:pStyle w:val="ListParagraph"/>
        <w:numPr>
          <w:ilvl w:val="0"/>
          <w:numId w:val="1"/>
        </w:numPr>
        <w:spacing w:after="40"/>
      </w:pPr>
      <w:r>
        <w:t xml:space="preserve">Change risk classification matrix defined (low, medium, high, critical)</w:t>
      </w:r>
    </w:p>
    <w:p>
      <w:pPr>
        <w:pStyle w:val="ListParagraph"/>
        <w:numPr>
          <w:ilvl w:val="0"/>
          <w:numId w:val="1"/>
        </w:numPr>
        <w:spacing w:after="40"/>
      </w:pPr>
      <w:r>
        <w:t xml:space="preserve">Test environment available that mirrors production for pre-deployment validation</w:t>
      </w:r>
    </w:p>
    <w:p>
      <w:pPr>
        <w:pStyle w:val="ListParagraph"/>
        <w:numPr>
          <w:ilvl w:val="0"/>
          <w:numId w:val="1"/>
        </w:numPr>
        <w:spacing w:after="40"/>
      </w:pPr>
      <w:r>
        <w:t xml:space="preserve">Rollback procedures documented for all critical systems</w:t>
      </w:r>
    </w:p>
    <w:p>
      <w:pPr>
        <w:pStyle w:val="Heading2"/>
        <w:spacing w:after="100" w:before="240"/>
      </w:pPr>
      <w:r>
        <w:t xml:space="preserve">Roles &amp; Responsibilities</w:t>
      </w:r>
    </w:p>
    <w:p>
      <w:pPr>
        <w:spacing w:after="40" w:before="120"/>
      </w:pPr>
      <w:r>
        <w:rPr>
          <w:b/>
          <w:bCs/>
        </w:rPr>
        <w:t xml:space="preserve">Change Requestor</w:t>
      </w:r>
    </w:p>
    <w:p>
      <w:pPr>
        <w:pStyle w:val="ListParagraph"/>
        <w:numPr>
          <w:ilvl w:val="0"/>
          <w:numId w:val="1"/>
        </w:numPr>
        <w:spacing w:after="40"/>
      </w:pPr>
      <w:r>
        <w:t xml:space="preserve">Submit the change request with business justification, scope, and risk assessment</w:t>
      </w:r>
    </w:p>
    <w:p>
      <w:pPr>
        <w:pStyle w:val="ListParagraph"/>
        <w:numPr>
          <w:ilvl w:val="0"/>
          <w:numId w:val="1"/>
        </w:numPr>
        <w:spacing w:after="40"/>
      </w:pPr>
      <w:r>
        <w:t xml:space="preserve">Coordinate testing in the pre-production environment</w:t>
      </w:r>
    </w:p>
    <w:p>
      <w:pPr>
        <w:pStyle w:val="ListParagraph"/>
        <w:numPr>
          <w:ilvl w:val="0"/>
          <w:numId w:val="1"/>
        </w:numPr>
        <w:spacing w:after="40"/>
      </w:pPr>
      <w:r>
        <w:t xml:space="preserve">Execute the change during the approved implementation window</w:t>
      </w:r>
    </w:p>
    <w:p>
      <w:pPr>
        <w:spacing w:after="40" w:before="120"/>
      </w:pPr>
      <w:r>
        <w:rPr>
          <w:b/>
          <w:bCs/>
        </w:rPr>
        <w:t xml:space="preserve">Change Advisory Board Chair</w:t>
      </w:r>
    </w:p>
    <w:p>
      <w:pPr>
        <w:pStyle w:val="ListParagraph"/>
        <w:numPr>
          <w:ilvl w:val="0"/>
          <w:numId w:val="1"/>
        </w:numPr>
        <w:spacing w:after="40"/>
      </w:pPr>
      <w:r>
        <w:t xml:space="preserve">Schedule and facilitate CAB review meetings</w:t>
      </w:r>
    </w:p>
    <w:p>
      <w:pPr>
        <w:pStyle w:val="ListParagraph"/>
        <w:numPr>
          <w:ilvl w:val="0"/>
          <w:numId w:val="1"/>
        </w:numPr>
        <w:spacing w:after="40"/>
      </w:pPr>
      <w:r>
        <w:t xml:space="preserve">Approve or reject change requests based on risk assessment and business impact</w:t>
      </w:r>
    </w:p>
    <w:p>
      <w:pPr>
        <w:pStyle w:val="ListParagraph"/>
        <w:numPr>
          <w:ilvl w:val="0"/>
          <w:numId w:val="1"/>
        </w:numPr>
        <w:spacing w:after="40"/>
      </w:pPr>
      <w:r>
        <w:t xml:space="preserve">Maintain the change calendar and prevent conflicting deployments</w:t>
      </w:r>
    </w:p>
    <w:p>
      <w:pPr>
        <w:spacing w:after="40" w:before="120"/>
      </w:pPr>
      <w:r>
        <w:rPr>
          <w:b/>
          <w:bCs/>
        </w:rPr>
        <w:t xml:space="preserve">Compliance Representative</w:t>
      </w:r>
    </w:p>
    <w:p>
      <w:pPr>
        <w:pStyle w:val="ListParagraph"/>
        <w:numPr>
          <w:ilvl w:val="0"/>
          <w:numId w:val="1"/>
        </w:numPr>
        <w:spacing w:after="40"/>
      </w:pPr>
      <w:r>
        <w:t xml:space="preserve">Review changes for regulatory impact (SOX controls, GLBA data handling, PCI-DSS scope)</w:t>
      </w:r>
    </w:p>
    <w:p>
      <w:pPr>
        <w:pStyle w:val="ListParagraph"/>
        <w:numPr>
          <w:ilvl w:val="0"/>
          <w:numId w:val="1"/>
        </w:numPr>
        <w:spacing w:after="40"/>
      </w:pPr>
      <w:r>
        <w:t xml:space="preserve">Verify that audit trail requirements are met for each change</w:t>
      </w:r>
    </w:p>
    <w:p>
      <w:pPr>
        <w:pStyle w:val="ListParagraph"/>
        <w:numPr>
          <w:ilvl w:val="0"/>
          <w:numId w:val="1"/>
        </w:numPr>
        <w:spacing w:after="40"/>
      </w:pPr>
      <w:r>
        <w:t xml:space="preserve">Escalate changes that affect regulatory reporting or compliance controls</w:t>
      </w:r>
    </w:p>
    <w:p>
      <w:pPr>
        <w:spacing w:after="40" w:before="120"/>
      </w:pPr>
      <w:r>
        <w:rPr>
          <w:b/>
          <w:bCs/>
        </w:rPr>
        <w:t xml:space="preserve">Operations Manager</w:t>
      </w:r>
    </w:p>
    <w:p>
      <w:pPr>
        <w:pStyle w:val="ListParagraph"/>
        <w:numPr>
          <w:ilvl w:val="0"/>
          <w:numId w:val="1"/>
        </w:numPr>
        <w:spacing w:after="40"/>
      </w:pPr>
      <w:r>
        <w:t xml:space="preserve">Assess operational impact of proposed changes on branch and back-office workflows</w:t>
      </w:r>
    </w:p>
    <w:p>
      <w:pPr>
        <w:pStyle w:val="ListParagraph"/>
        <w:numPr>
          <w:ilvl w:val="0"/>
          <w:numId w:val="1"/>
        </w:numPr>
        <w:spacing w:after="40"/>
      </w:pPr>
      <w:r>
        <w:t xml:space="preserve">Coordinate communication to affected staff before and after implementation</w:t>
      </w:r>
    </w:p>
    <w:p>
      <w:pPr>
        <w:pStyle w:val="ListParagraph"/>
        <w:numPr>
          <w:ilvl w:val="0"/>
          <w:numId w:val="1"/>
        </w:numPr>
        <w:spacing w:after="40"/>
      </w:pPr>
      <w:r>
        <w:t xml:space="preserve">Validate that business continuity plans are updated if the change affects critical processes</w:t>
      </w:r>
    </w:p>
    <w:p>
      <w:pPr>
        <w:pStyle w:val="Heading2"/>
        <w:spacing w:after="100" w:before="240"/>
      </w:pPr>
      <w:r>
        <w:t xml:space="preserve">Procedure</w:t>
      </w:r>
    </w:p>
    <w:p>
      <w:pPr>
        <w:pStyle w:val="Heading3"/>
        <w:spacing w:after="40" w:before="160"/>
      </w:pPr>
      <w:r>
        <w:t xml:space="preserve">Step 1: Submit a change request</w:t>
      </w:r>
    </w:p>
    <w:p>
      <w:pPr>
        <w:spacing w:after="100"/>
      </w:pPr>
      <w:r>
        <w:t xml:space="preserve">The change requestor creates a formal change request ticket that documents what is being changed, why, the expected impact, and the proposed implementation timeline. Every change — no matter how small — must have a ticket. This is not optional in financial services; examiners will look for change records during audits.</w:t>
      </w:r>
    </w:p>
    <w:p>
      <w:pPr>
        <w:pStyle w:val="ListParagraph"/>
        <w:numPr>
          <w:ilvl w:val="1"/>
          <w:numId w:val="1"/>
        </w:numPr>
        <w:spacing w:after="40"/>
      </w:pPr>
      <w:r>
        <w:t xml:space="preserve">Create a change request in ServiceNow or your change management system</w:t>
      </w:r>
    </w:p>
    <w:p>
      <w:pPr>
        <w:pStyle w:val="ListParagraph"/>
        <w:numPr>
          <w:ilvl w:val="1"/>
          <w:numId w:val="1"/>
        </w:numPr>
        <w:spacing w:after="40"/>
      </w:pPr>
      <w:r>
        <w:t xml:space="preserve">Document the business justification and expected benefit of the change</w:t>
      </w:r>
    </w:p>
    <w:p>
      <w:pPr>
        <w:pStyle w:val="ListParagraph"/>
        <w:numPr>
          <w:ilvl w:val="1"/>
          <w:numId w:val="1"/>
        </w:numPr>
        <w:spacing w:after="40"/>
      </w:pPr>
      <w:r>
        <w:t xml:space="preserve">Define the scope — which systems, processes, or data are affected</w:t>
      </w:r>
    </w:p>
    <w:p>
      <w:pPr>
        <w:pStyle w:val="ListParagraph"/>
        <w:numPr>
          <w:ilvl w:val="1"/>
          <w:numId w:val="1"/>
        </w:numPr>
        <w:spacing w:after="40"/>
      </w:pPr>
      <w:r>
        <w:t xml:space="preserve">Propose an implementation date and maintenance window</w:t>
      </w:r>
    </w:p>
    <w:p>
      <w:pPr>
        <w:pStyle w:val="ListParagraph"/>
        <w:numPr>
          <w:ilvl w:val="1"/>
          <w:numId w:val="1"/>
        </w:numPr>
        <w:spacing w:after="40"/>
      </w:pPr>
      <w:r>
        <w:t xml:space="preserve">Identify all stakeholders who need to be informed or consulted</w:t>
      </w:r>
    </w:p>
    <w:p>
      <w:pPr>
        <w:spacing w:after="100"/>
      </w:pPr>
      <w:r>
        <w:rPr>
          <w:i/>
          <w:iCs/>
          <w:color w:val="1F7A4D"/>
        </w:rPr>
        <w:t xml:space="preserve">Tip: Include the specific regulatory controls that may be affected by the change. This saves the compliance representative time during review and demonstrates mature change governance to examiners.</w:t>
      </w:r>
    </w:p>
    <w:p>
      <w:pPr>
        <w:pStyle w:val="Heading3"/>
        <w:spacing w:after="40" w:before="160"/>
      </w:pPr>
      <w:r>
        <w:t xml:space="preserve">Step 2: Classify the change risk level</w:t>
      </w:r>
    </w:p>
    <w:p>
      <w:pPr>
        <w:spacing w:after="100"/>
      </w:pPr>
      <w:r>
        <w:t xml:space="preserve">Assess the change against the risk classification matrix. Consider factors like: Does it touch production financial data? Does it affect a SOX control? Does it modify customer-facing systems? Does it change regulatory reporting logic? Higher risk changes require more rigorous review and testing.</w:t>
      </w:r>
    </w:p>
    <w:p>
      <w:pPr>
        <w:pStyle w:val="ListParagraph"/>
        <w:numPr>
          <w:ilvl w:val="1"/>
          <w:numId w:val="1"/>
        </w:numPr>
        <w:spacing w:after="40"/>
      </w:pPr>
      <w:r>
        <w:t xml:space="preserve">Evaluate impact on production financial data and SOX internal controls</w:t>
      </w:r>
    </w:p>
    <w:p>
      <w:pPr>
        <w:pStyle w:val="ListParagraph"/>
        <w:numPr>
          <w:ilvl w:val="1"/>
          <w:numId w:val="1"/>
        </w:numPr>
        <w:spacing w:after="40"/>
      </w:pPr>
      <w:r>
        <w:t xml:space="preserve">Assess whether the change affects PCI-DSS scope or cardholder data environment</w:t>
      </w:r>
    </w:p>
    <w:p>
      <w:pPr>
        <w:pStyle w:val="ListParagraph"/>
        <w:numPr>
          <w:ilvl w:val="1"/>
          <w:numId w:val="1"/>
        </w:numPr>
        <w:spacing w:after="40"/>
      </w:pPr>
      <w:r>
        <w:t xml:space="preserve">Determine if the change modifies BSA/AML transaction monitoring rules or thresholds</w:t>
      </w:r>
    </w:p>
    <w:p>
      <w:pPr>
        <w:pStyle w:val="ListParagraph"/>
        <w:numPr>
          <w:ilvl w:val="1"/>
          <w:numId w:val="1"/>
        </w:numPr>
        <w:spacing w:after="40"/>
      </w:pPr>
      <w:r>
        <w:t xml:space="preserve">Classify as low, medium, high, or critical based on the risk matrix</w:t>
      </w:r>
    </w:p>
    <w:p>
      <w:pPr>
        <w:pStyle w:val="ListParagraph"/>
        <w:numPr>
          <w:ilvl w:val="1"/>
          <w:numId w:val="1"/>
        </w:numPr>
        <w:spacing w:after="40"/>
      </w:pPr>
      <w:r>
        <w:t xml:space="preserve">Assign the appropriate approval path based on classification</w:t>
      </w:r>
    </w:p>
    <w:p>
      <w:pPr>
        <w:spacing w:after="100"/>
      </w:pPr>
      <w:r>
        <w:rPr>
          <w:i/>
          <w:iCs/>
          <w:color w:val="B45309"/>
        </w:rPr>
        <w:t xml:space="preserve">Warning: Any change that affects SOX controls, BSA/AML monitoring thresholds, or regulatory reporting must be classified as high or critical regardless of its technical simplicity. A one-line configuration change to a SAR filing threshold is high-risk.</w:t>
      </w:r>
    </w:p>
    <w:p>
      <w:pPr>
        <w:pStyle w:val="Heading3"/>
        <w:spacing w:after="40" w:before="160"/>
      </w:pPr>
      <w:r>
        <w:t xml:space="preserve">Step 3: Review with the Change Advisory Board</w:t>
      </w:r>
    </w:p>
    <w:p>
      <w:pPr>
        <w:spacing w:after="100"/>
      </w:pPr>
      <w:r>
        <w:t xml:space="preserve">Present the change request to the CAB for review. The CAB evaluates the risk assessment, tests plan, rollback procedure, and implementation timeline. For high and critical changes, the full CAB must approve. For low and medium changes, a delegated approver may sign off.</w:t>
      </w:r>
    </w:p>
    <w:p>
      <w:pPr>
        <w:pStyle w:val="ListParagraph"/>
        <w:numPr>
          <w:ilvl w:val="1"/>
          <w:numId w:val="1"/>
        </w:numPr>
        <w:spacing w:after="40"/>
      </w:pPr>
      <w:r>
        <w:t xml:space="preserve">Add the change request to the next CAB meeting agenda</w:t>
      </w:r>
    </w:p>
    <w:p>
      <w:pPr>
        <w:pStyle w:val="ListParagraph"/>
        <w:numPr>
          <w:ilvl w:val="1"/>
          <w:numId w:val="1"/>
        </w:numPr>
        <w:spacing w:after="40"/>
      </w:pPr>
      <w:r>
        <w:t xml:space="preserve">Present the change scope, risk classification, and test results to the CAB</w:t>
      </w:r>
    </w:p>
    <w:p>
      <w:pPr>
        <w:pStyle w:val="ListParagraph"/>
        <w:numPr>
          <w:ilvl w:val="1"/>
          <w:numId w:val="1"/>
        </w:numPr>
        <w:spacing w:after="40"/>
      </w:pPr>
      <w:r>
        <w:t xml:space="preserve">Address questions from compliance, operations, and IT representatives</w:t>
      </w:r>
    </w:p>
    <w:p>
      <w:pPr>
        <w:pStyle w:val="ListParagraph"/>
        <w:numPr>
          <w:ilvl w:val="1"/>
          <w:numId w:val="1"/>
        </w:numPr>
        <w:spacing w:after="40"/>
      </w:pPr>
      <w:r>
        <w:t xml:space="preserve">Obtain formal approval or request modifications before proceeding</w:t>
      </w:r>
    </w:p>
    <w:p>
      <w:pPr>
        <w:pStyle w:val="Heading3"/>
        <w:spacing w:after="40" w:before="160"/>
      </w:pPr>
      <w:r>
        <w:t xml:space="preserve">Step 4: Test the change in pre-production</w:t>
      </w:r>
    </w:p>
    <w:p>
      <w:pPr>
        <w:spacing w:after="100"/>
      </w:pPr>
      <w:r>
        <w:t xml:space="preserve">Execute the change in a test environment that mirrors production as closely as possible. For core banking changes on FIS, Fiserv, Jack Henry, or Temenos, use the vendor-provided test instance. Validate that the change works as expected, does not break existing functionality, and produces correct results for financial calculations and regulatory reports.</w:t>
      </w:r>
    </w:p>
    <w:p>
      <w:pPr>
        <w:pStyle w:val="ListParagraph"/>
        <w:numPr>
          <w:ilvl w:val="1"/>
          <w:numId w:val="1"/>
        </w:numPr>
        <w:spacing w:after="40"/>
      </w:pPr>
      <w:r>
        <w:t xml:space="preserve">Deploy the change to the pre-production or UAT environment</w:t>
      </w:r>
    </w:p>
    <w:p>
      <w:pPr>
        <w:pStyle w:val="ListParagraph"/>
        <w:numPr>
          <w:ilvl w:val="1"/>
          <w:numId w:val="1"/>
        </w:numPr>
        <w:spacing w:after="40"/>
      </w:pPr>
      <w:r>
        <w:t xml:space="preserve">Run functional tests covering all affected workflows</w:t>
      </w:r>
    </w:p>
    <w:p>
      <w:pPr>
        <w:pStyle w:val="ListParagraph"/>
        <w:numPr>
          <w:ilvl w:val="1"/>
          <w:numId w:val="1"/>
        </w:numPr>
        <w:spacing w:after="40"/>
      </w:pPr>
      <w:r>
        <w:t xml:space="preserve">Validate financial calculations and reconciliation outputs against known test data</w:t>
      </w:r>
    </w:p>
    <w:p>
      <w:pPr>
        <w:pStyle w:val="ListParagraph"/>
        <w:numPr>
          <w:ilvl w:val="1"/>
          <w:numId w:val="1"/>
        </w:numPr>
        <w:spacing w:after="40"/>
      </w:pPr>
      <w:r>
        <w:t xml:space="preserve">Test regulatory report generation to confirm no formatting or data changes</w:t>
      </w:r>
    </w:p>
    <w:p>
      <w:pPr>
        <w:pStyle w:val="ListParagraph"/>
        <w:numPr>
          <w:ilvl w:val="1"/>
          <w:numId w:val="1"/>
        </w:numPr>
        <w:spacing w:after="40"/>
      </w:pPr>
      <w:r>
        <w:t xml:space="preserve">Document test results and attach them to the change request ticket</w:t>
      </w:r>
    </w:p>
    <w:p>
      <w:pPr>
        <w:spacing w:after="100"/>
      </w:pPr>
      <w:r>
        <w:rPr>
          <w:i/>
          <w:iCs/>
          <w:color w:val="1F7A4D"/>
        </w:rPr>
        <w:t xml:space="preserve">Tip: For changes affecting the general ledger or regulatory reporting, run a parallel test — process the same transactions in both old and new configurations and compare outputs.</w:t>
      </w:r>
    </w:p>
    <w:p>
      <w:pPr>
        <w:pStyle w:val="Heading3"/>
        <w:spacing w:after="40" w:before="160"/>
      </w:pPr>
      <w:r>
        <w:t xml:space="preserve">Step 5: Prepare the rollback plan</w:t>
      </w:r>
    </w:p>
    <w:p>
      <w:pPr>
        <w:spacing w:after="100"/>
      </w:pPr>
      <w:r>
        <w:t xml:space="preserve">Document a step-by-step rollback plan that can restore the previous state if the change causes unexpected issues in production. The rollback plan must include specific commands, data restoration steps, and a clear decision threshold for when to initiate rollback.</w:t>
      </w:r>
    </w:p>
    <w:p>
      <w:pPr>
        <w:pStyle w:val="ListParagraph"/>
        <w:numPr>
          <w:ilvl w:val="1"/>
          <w:numId w:val="1"/>
        </w:numPr>
        <w:spacing w:after="40"/>
      </w:pPr>
      <w:r>
        <w:t xml:space="preserve">Document the exact steps to reverse the change</w:t>
      </w:r>
    </w:p>
    <w:p>
      <w:pPr>
        <w:pStyle w:val="ListParagraph"/>
        <w:numPr>
          <w:ilvl w:val="1"/>
          <w:numId w:val="1"/>
        </w:numPr>
        <w:spacing w:after="40"/>
      </w:pPr>
      <w:r>
        <w:t xml:space="preserve">Identify the rollback decision threshold (e.g., failed reconciliation, customer-facing errors, regulatory report failures)</w:t>
      </w:r>
    </w:p>
    <w:p>
      <w:pPr>
        <w:pStyle w:val="ListParagraph"/>
        <w:numPr>
          <w:ilvl w:val="1"/>
          <w:numId w:val="1"/>
        </w:numPr>
        <w:spacing w:after="40"/>
      </w:pPr>
      <w:r>
        <w:t xml:space="preserve">Confirm that database backups are current before the implementation window</w:t>
      </w:r>
    </w:p>
    <w:p>
      <w:pPr>
        <w:pStyle w:val="ListParagraph"/>
        <w:numPr>
          <w:ilvl w:val="1"/>
          <w:numId w:val="1"/>
        </w:numPr>
        <w:spacing w:after="40"/>
      </w:pPr>
      <w:r>
        <w:t xml:space="preserve">Assign a rollback owner who has the access and authority to execute it</w:t>
      </w:r>
    </w:p>
    <w:p>
      <w:pPr>
        <w:spacing w:after="100"/>
      </w:pPr>
      <w:r>
        <w:rPr>
          <w:i/>
          <w:iCs/>
          <w:color w:val="B45309"/>
        </w:rPr>
        <w:t xml:space="preserve">Warning: Never implement a change to a production core banking system without a tested rollback plan. A failed change with no rollback path can halt branch operations, freeze customer transactions, and trigger a regulatory incident report.</w:t>
      </w:r>
    </w:p>
    <w:p>
      <w:pPr>
        <w:pStyle w:val="Heading3"/>
        <w:spacing w:after="40" w:before="160"/>
      </w:pPr>
      <w:r>
        <w:t xml:space="preserve">Step 6: Communicate the change to affected parties</w:t>
      </w:r>
    </w:p>
    <w:p>
      <w:pPr>
        <w:spacing w:after="100"/>
      </w:pPr>
      <w:r>
        <w:t xml:space="preserve">Notify all affected staff, departments, and — if applicable — customers before the change is implemented. Financial services changes often affect branch operations, call center scripts, or client-facing portals. Provide clear details about what is changing, when, and what staff should expect.</w:t>
      </w:r>
    </w:p>
    <w:p>
      <w:pPr>
        <w:pStyle w:val="ListParagraph"/>
        <w:numPr>
          <w:ilvl w:val="1"/>
          <w:numId w:val="1"/>
        </w:numPr>
        <w:spacing w:after="40"/>
      </w:pPr>
      <w:r>
        <w:t xml:space="preserve">Send change notification to all affected business units at least 48 hours before implementation</w:t>
      </w:r>
    </w:p>
    <w:p>
      <w:pPr>
        <w:pStyle w:val="ListParagraph"/>
        <w:numPr>
          <w:ilvl w:val="1"/>
          <w:numId w:val="1"/>
        </w:numPr>
        <w:spacing w:after="40"/>
      </w:pPr>
      <w:r>
        <w:t xml:space="preserve">Brief branch managers on any changes to teller workflows or customer-facing procedures</w:t>
      </w:r>
    </w:p>
    <w:p>
      <w:pPr>
        <w:pStyle w:val="ListParagraph"/>
        <w:numPr>
          <w:ilvl w:val="1"/>
          <w:numId w:val="1"/>
        </w:numPr>
        <w:spacing w:after="40"/>
      </w:pPr>
      <w:r>
        <w:t xml:space="preserve">Update call center scripts and FAQ documents if customer interactions will be affected</w:t>
      </w:r>
    </w:p>
    <w:p>
      <w:pPr>
        <w:pStyle w:val="ListParagraph"/>
        <w:numPr>
          <w:ilvl w:val="1"/>
          <w:numId w:val="1"/>
        </w:numPr>
        <w:spacing w:after="40"/>
      </w:pPr>
      <w:r>
        <w:t xml:space="preserve">Notify the compliance team so they can update examination readiness materials if needed</w:t>
      </w:r>
    </w:p>
    <w:p>
      <w:pPr>
        <w:pStyle w:val="Heading3"/>
        <w:spacing w:after="40" w:before="160"/>
      </w:pPr>
      <w:r>
        <w:t xml:space="preserve">Step 7: Implement the change during the approved window</w:t>
      </w:r>
    </w:p>
    <w:p>
      <w:pPr>
        <w:spacing w:after="100"/>
      </w:pPr>
      <w:r>
        <w:t xml:space="preserve">Execute the change during the approved maintenance window. Follow the implementation plan step by step. Monitor system health throughout the deployment. Have the rollback owner standing by in case the decision threshold is reached.</w:t>
      </w:r>
    </w:p>
    <w:p>
      <w:pPr>
        <w:pStyle w:val="ListParagraph"/>
        <w:numPr>
          <w:ilvl w:val="1"/>
          <w:numId w:val="1"/>
        </w:numPr>
        <w:spacing w:after="40"/>
      </w:pPr>
      <w:r>
        <w:t xml:space="preserve">Confirm all pre-implementation checks are complete (backups, rollback plan, team availability)</w:t>
      </w:r>
    </w:p>
    <w:p>
      <w:pPr>
        <w:pStyle w:val="ListParagraph"/>
        <w:numPr>
          <w:ilvl w:val="1"/>
          <w:numId w:val="1"/>
        </w:numPr>
        <w:spacing w:after="40"/>
      </w:pPr>
      <w:r>
        <w:t xml:space="preserve">Execute the change following the documented implementation plan</w:t>
      </w:r>
    </w:p>
    <w:p>
      <w:pPr>
        <w:pStyle w:val="ListParagraph"/>
        <w:numPr>
          <w:ilvl w:val="1"/>
          <w:numId w:val="1"/>
        </w:numPr>
        <w:spacing w:after="40"/>
      </w:pPr>
      <w:r>
        <w:t xml:space="preserve">Monitor core banking system health, transaction processing, and interface feeds during deployment</w:t>
      </w:r>
    </w:p>
    <w:p>
      <w:pPr>
        <w:pStyle w:val="ListParagraph"/>
        <w:numPr>
          <w:ilvl w:val="1"/>
          <w:numId w:val="1"/>
        </w:numPr>
        <w:spacing w:after="40"/>
      </w:pPr>
      <w:r>
        <w:t xml:space="preserve">Run post-implementation validation checks before declaring the change complete</w:t>
      </w:r>
    </w:p>
    <w:p>
      <w:pPr>
        <w:pStyle w:val="Heading3"/>
        <w:spacing w:after="40" w:before="160"/>
      </w:pPr>
      <w:r>
        <w:t xml:space="preserve">Step 8: Validate post-implementation and close the change</w:t>
      </w:r>
    </w:p>
    <w:p>
      <w:pPr>
        <w:spacing w:after="100"/>
      </w:pPr>
      <w:r>
        <w:t xml:space="preserve">After implementation, verify that the change is working as expected in production. Run the same validation checks used during pre-production testing. Confirm that end-of-day reconciliation, regulatory feeds, and customer-facing systems are operating normally. Close the change request ticket with documented results.</w:t>
      </w:r>
    </w:p>
    <w:p>
      <w:pPr>
        <w:pStyle w:val="ListParagraph"/>
        <w:numPr>
          <w:ilvl w:val="1"/>
          <w:numId w:val="1"/>
        </w:numPr>
        <w:spacing w:after="40"/>
      </w:pPr>
      <w:r>
        <w:t xml:space="preserve">Run end-of-day reconciliation and compare results against expected outcomes</w:t>
      </w:r>
    </w:p>
    <w:p>
      <w:pPr>
        <w:pStyle w:val="ListParagraph"/>
        <w:numPr>
          <w:ilvl w:val="1"/>
          <w:numId w:val="1"/>
        </w:numPr>
        <w:spacing w:after="40"/>
      </w:pPr>
      <w:r>
        <w:t xml:space="preserve">Verify regulatory data feeds and report generation are functioning correctly</w:t>
      </w:r>
    </w:p>
    <w:p>
      <w:pPr>
        <w:pStyle w:val="ListParagraph"/>
        <w:numPr>
          <w:ilvl w:val="1"/>
          <w:numId w:val="1"/>
        </w:numPr>
        <w:spacing w:after="40"/>
      </w:pPr>
      <w:r>
        <w:t xml:space="preserve">Collect confirmation from affected business units that operations are normal</w:t>
      </w:r>
    </w:p>
    <w:p>
      <w:pPr>
        <w:pStyle w:val="ListParagraph"/>
        <w:numPr>
          <w:ilvl w:val="1"/>
          <w:numId w:val="1"/>
        </w:numPr>
        <w:spacing w:after="40"/>
      </w:pPr>
      <w:r>
        <w:t xml:space="preserve">Update the change request ticket with post-implementation results and close it</w:t>
      </w:r>
    </w:p>
    <w:p>
      <w:pPr>
        <w:pStyle w:val="Heading3"/>
        <w:spacing w:after="40" w:before="160"/>
      </w:pPr>
      <w:r>
        <w:t xml:space="preserve">Step 9: Archive change records for audit readiness</w:t>
      </w:r>
    </w:p>
    <w:p>
      <w:pPr>
        <w:spacing w:after="100"/>
      </w:pPr>
      <w:r>
        <w:t xml:space="preserve">Ensure the complete change record — request, risk assessment, CAB approval, test results, implementation log, and post-implementation validation — is archived in your change management system. These records are examined during SOX audits, FFIEC IT examinations, and FINRA supervisory reviews.</w:t>
      </w:r>
    </w:p>
    <w:p>
      <w:pPr>
        <w:pStyle w:val="ListParagraph"/>
        <w:numPr>
          <w:ilvl w:val="1"/>
          <w:numId w:val="1"/>
        </w:numPr>
        <w:spacing w:after="40"/>
      </w:pPr>
      <w:r>
        <w:t xml:space="preserve">Verify all required fields in the change ticket are complete and accurate</w:t>
      </w:r>
    </w:p>
    <w:p>
      <w:pPr>
        <w:pStyle w:val="ListParagraph"/>
        <w:numPr>
          <w:ilvl w:val="1"/>
          <w:numId w:val="1"/>
        </w:numPr>
        <w:spacing w:after="40"/>
      </w:pPr>
      <w:r>
        <w:t xml:space="preserve">Attach test results, approval records, and post-implementation validation</w:t>
      </w:r>
    </w:p>
    <w:p>
      <w:pPr>
        <w:pStyle w:val="ListParagraph"/>
        <w:numPr>
          <w:ilvl w:val="1"/>
          <w:numId w:val="1"/>
        </w:numPr>
        <w:spacing w:after="40"/>
      </w:pPr>
      <w:r>
        <w:t xml:space="preserve">Confirm the change is logged in the audit trail with timestamps and approver names</w:t>
      </w:r>
    </w:p>
    <w:p>
      <w:pPr>
        <w:pStyle w:val="ListParagraph"/>
        <w:numPr>
          <w:ilvl w:val="1"/>
          <w:numId w:val="1"/>
        </w:numPr>
        <w:spacing w:after="40"/>
      </w:pPr>
      <w:r>
        <w:t xml:space="preserve">Tag the change record with the regulatory controls it affects for easy retrieval during examinations</w:t>
      </w:r>
    </w:p>
    <w:p>
      <w:pPr>
        <w:pStyle w:val="Heading2"/>
        <w:spacing w:after="100" w:before="240"/>
      </w:pPr>
      <w:r>
        <w:t xml:space="preserve">Completion Checklist</w:t>
      </w:r>
    </w:p>
    <w:p>
      <w:pPr>
        <w:spacing w:after="40"/>
      </w:pPr>
      <w:r>
        <w:t xml:space="preserve">☐  Change request submitted with business justification and scope</w:t>
      </w:r>
    </w:p>
    <w:p>
      <w:pPr>
        <w:spacing w:after="40"/>
      </w:pPr>
      <w:r>
        <w:t xml:space="preserve">☐  Risk classification assigned based on the risk matrix</w:t>
      </w:r>
    </w:p>
    <w:p>
      <w:pPr>
        <w:spacing w:after="40"/>
      </w:pPr>
      <w:r>
        <w:t xml:space="preserve">☐  Regulatory impact assessed (SOX controls, PCI-DSS, BSA/AML)</w:t>
      </w:r>
    </w:p>
    <w:p>
      <w:pPr>
        <w:spacing w:after="40"/>
      </w:pPr>
      <w:r>
        <w:t xml:space="preserve">☐  CAB review completed with formal approval documented</w:t>
      </w:r>
    </w:p>
    <w:p>
      <w:pPr>
        <w:spacing w:after="40"/>
      </w:pPr>
      <w:r>
        <w:t xml:space="preserve">☐  Pre-production testing completed with results documented</w:t>
      </w:r>
    </w:p>
    <w:p>
      <w:pPr>
        <w:spacing w:after="40"/>
      </w:pPr>
      <w:r>
        <w:t xml:space="preserve">☐  Rollback plan documented, tested, and owner assigned</w:t>
      </w:r>
    </w:p>
    <w:p>
      <w:pPr>
        <w:spacing w:after="40"/>
      </w:pPr>
      <w:r>
        <w:t xml:space="preserve">☐  Affected parties notified at least 48 hours before implementation</w:t>
      </w:r>
    </w:p>
    <w:p>
      <w:pPr>
        <w:spacing w:after="40"/>
      </w:pPr>
      <w:r>
        <w:t xml:space="preserve">☐  Change implemented during approved maintenance window</w:t>
      </w:r>
    </w:p>
    <w:p>
      <w:pPr>
        <w:spacing w:after="40"/>
      </w:pPr>
      <w:r>
        <w:t xml:space="preserve">☐  Post-implementation validation completed with results documented</w:t>
      </w:r>
    </w:p>
    <w:p>
      <w:pPr>
        <w:spacing w:after="40"/>
      </w:pPr>
      <w:r>
        <w:t xml:space="preserve">☐  End-of-day reconciliation confirmed normal after change</w:t>
      </w:r>
    </w:p>
    <w:p>
      <w:pPr>
        <w:spacing w:after="40"/>
      </w:pPr>
      <w:r>
        <w:t xml:space="preserve">☐  Change record archived with all supporting documentation</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success rate (implemented without rollback)</w:t>
            </w:r>
          </w:p>
        </w:tc>
        <w:tc>
          <w:tcPr>
            <w:tcMar>
              <w:top w:type="dxa" w:w="60"/>
              <w:left w:type="dxa" w:w="120"/>
              <w:bottom w:type="dxa" w:w="60"/>
              <w:right w:type="dxa" w:w="120"/>
            </w:tcMar>
          </w:tcPr>
          <w:p>
            <w:r>
              <w:rPr>
                <w:b w:val="false"/>
                <w:bCs w:val="false"/>
              </w:rPr>
              <w:t xml:space="preserve">95% or higher</w:t>
            </w:r>
          </w:p>
        </w:tc>
      </w:tr>
      <w:tr>
        <w:trPr>
          <w:tblHeader w:val="false"/>
        </w:trPr>
        <w:tc>
          <w:tcPr>
            <w:tcMar>
              <w:top w:type="dxa" w:w="60"/>
              <w:left w:type="dxa" w:w="120"/>
              <w:bottom w:type="dxa" w:w="60"/>
              <w:right w:type="dxa" w:w="120"/>
            </w:tcMar>
          </w:tcPr>
          <w:p>
            <w:r>
              <w:rPr>
                <w:b w:val="false"/>
                <w:bCs w:val="false"/>
              </w:rPr>
              <w:t xml:space="preserve">Unauthorized changes detected</w:t>
            </w:r>
          </w:p>
        </w:tc>
        <w:tc>
          <w:tcPr>
            <w:tcMar>
              <w:top w:type="dxa" w:w="60"/>
              <w:left w:type="dxa" w:w="120"/>
              <w:bottom w:type="dxa" w:w="60"/>
              <w:right w:type="dxa" w:w="120"/>
            </w:tcMar>
          </w:tcPr>
          <w:p>
            <w:r>
              <w:rPr>
                <w:b w:val="false"/>
                <w:bCs w:val="false"/>
              </w:rPr>
              <w:t xml:space="preserve">Zero per quarter</w:t>
            </w:r>
          </w:p>
        </w:tc>
      </w:tr>
      <w:tr>
        <w:trPr>
          <w:tblHeader w:val="false"/>
        </w:trPr>
        <w:tc>
          <w:tcPr>
            <w:tcMar>
              <w:top w:type="dxa" w:w="60"/>
              <w:left w:type="dxa" w:w="120"/>
              <w:bottom w:type="dxa" w:w="60"/>
              <w:right w:type="dxa" w:w="120"/>
            </w:tcMar>
          </w:tcPr>
          <w:p>
            <w:r>
              <w:rPr>
                <w:b w:val="false"/>
                <w:bCs w:val="false"/>
              </w:rPr>
              <w:t xml:space="preserve">Change-related incidents</w:t>
            </w:r>
          </w:p>
        </w:tc>
        <w:tc>
          <w:tcPr>
            <w:tcMar>
              <w:top w:type="dxa" w:w="60"/>
              <w:left w:type="dxa" w:w="120"/>
              <w:bottom w:type="dxa" w:w="60"/>
              <w:right w:type="dxa" w:w="120"/>
            </w:tcMar>
          </w:tcPr>
          <w:p>
            <w:r>
              <w:rPr>
                <w:b w:val="false"/>
                <w:bCs w:val="false"/>
              </w:rPr>
              <w:t xml:space="preserve">Less than 5% of all changes result in incidents</w:t>
            </w:r>
          </w:p>
        </w:tc>
      </w:tr>
      <w:tr>
        <w:trPr>
          <w:tblHeader w:val="false"/>
        </w:trPr>
        <w:tc>
          <w:tcPr>
            <w:tcMar>
              <w:top w:type="dxa" w:w="60"/>
              <w:left w:type="dxa" w:w="120"/>
              <w:bottom w:type="dxa" w:w="60"/>
              <w:right w:type="dxa" w:w="120"/>
            </w:tcMar>
          </w:tcPr>
          <w:p>
            <w:r>
              <w:rPr>
                <w:b w:val="false"/>
                <w:bCs w:val="false"/>
              </w:rPr>
              <w:t xml:space="preserve">CAB review turnaround time</w:t>
            </w:r>
          </w:p>
        </w:tc>
        <w:tc>
          <w:tcPr>
            <w:tcMar>
              <w:top w:type="dxa" w:w="60"/>
              <w:left w:type="dxa" w:w="120"/>
              <w:bottom w:type="dxa" w:w="60"/>
              <w:right w:type="dxa" w:w="120"/>
            </w:tcMar>
          </w:tcPr>
          <w:p>
            <w:r>
              <w:rPr>
                <w:b w:val="false"/>
                <w:bCs w:val="false"/>
              </w:rPr>
              <w:t xml:space="preserve">Under 5 business days for standard changes</w:t>
            </w:r>
          </w:p>
        </w:tc>
      </w:tr>
      <w:tr>
        <w:trPr>
          <w:tblHeader w:val="false"/>
        </w:trPr>
        <w:tc>
          <w:tcPr>
            <w:tcMar>
              <w:top w:type="dxa" w:w="60"/>
              <w:left w:type="dxa" w:w="120"/>
              <w:bottom w:type="dxa" w:w="60"/>
              <w:right w:type="dxa" w:w="120"/>
            </w:tcMar>
          </w:tcPr>
          <w:p>
            <w:r>
              <w:rPr>
                <w:b w:val="false"/>
                <w:bCs w:val="false"/>
              </w:rPr>
              <w:t xml:space="preserve">Audit readiness of change records</w:t>
            </w:r>
          </w:p>
        </w:tc>
        <w:tc>
          <w:tcPr>
            <w:tcMar>
              <w:top w:type="dxa" w:w="60"/>
              <w:left w:type="dxa" w:w="120"/>
              <w:bottom w:type="dxa" w:w="60"/>
              <w:right w:type="dxa" w:w="120"/>
            </w:tcMar>
          </w:tcPr>
          <w:p>
            <w:r>
              <w:rPr>
                <w:b w:val="false"/>
                <w:bCs w:val="false"/>
              </w:rPr>
              <w:t xml:space="preserve">100% of changes have complete documentation</w:t>
            </w:r>
          </w:p>
        </w:tc>
      </w:tr>
    </w:tbl>
    <w:p>
      <w:pPr>
        <w:pStyle w:val="Heading2"/>
        <w:spacing w:after="100" w:before="240"/>
      </w:pPr>
      <w:r>
        <w:t xml:space="preserve">Revision Schedule</w:t>
      </w:r>
    </w:p>
    <w:p>
      <w:pPr>
        <w:spacing w:after="100"/>
      </w:pPr>
      <w:r>
        <w:t xml:space="preserve">Semi-annually, or immediately after FFIEC IT examination findings, SOX audit observations, or a change-related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Change Management Standard Operating Procedure Template</dc:title>
  <dc:creator>Glyde</dc:creator>
  <dc:description>Free change management SOP template for financial services. Covers change requests, risk assessment, CAB review, rollback plans, and regulatory compliance.</dc:description>
  <cp:lastModifiedBy>Un-named</cp:lastModifiedBy>
  <cp:revision>1</cp:revision>
  <dcterms:created xsi:type="dcterms:W3CDTF">2026-07-22T08:34:35.089Z</dcterms:created>
  <dcterms:modified xsi:type="dcterms:W3CDTF">2026-07-22T08:34:35.089Z</dcterms:modified>
</cp:coreProperties>
</file>

<file path=docProps/custom.xml><?xml version="1.0" encoding="utf-8"?>
<Properties xmlns="http://schemas.openxmlformats.org/officeDocument/2006/custom-properties" xmlns:vt="http://schemas.openxmlformats.org/officeDocument/2006/docPropsVTypes"/>
</file>