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Client Onboarding for Legal</w:t>
      </w:r>
    </w:p>
    <w:p>
      <w:pPr>
        <w:spacing w:after="200"/>
      </w:pPr>
      <w:r>
        <w:rPr>
          <w:i/>
          <w:iCs/>
          <w:color w:val="6B7280"/>
        </w:rPr>
        <w:t xml:space="preserve">Free client onboarding SOP template for legal operations teams. Step-by-step intake, conflict checks, and engagement letters.</w:t>
      </w:r>
    </w:p>
    <w:p>
      <w:pPr>
        <w:pStyle w:val="Heading2"/>
        <w:spacing w:after="100" w:before="240"/>
      </w:pPr>
      <w:r>
        <w:t xml:space="preserve">Purpose</w:t>
      </w:r>
    </w:p>
    <w:p>
      <w:pPr>
        <w:spacing w:after="100"/>
      </w:pPr>
      <w:r>
        <w:t xml:space="preserve">Standardize how new clients are onboarded at the firm so that conflict checks, engagement letters, and matter setup happen consistently — regardless of which attorney originates the work. This prevents missed conflict screens that could trigger bar association complaints and ensures trust account setup complies with state rules.</w:t>
      </w:r>
    </w:p>
    <w:p>
      <w:pPr>
        <w:pStyle w:val="Heading2"/>
        <w:spacing w:after="100" w:before="240"/>
      </w:pPr>
      <w:r>
        <w:t xml:space="preserve">Scope</w:t>
      </w:r>
    </w:p>
    <w:p>
      <w:pPr>
        <w:spacing w:after="100"/>
      </w:pPr>
      <w:r>
        <w:t xml:space="preserve">Covers initial client contact through matter opening in the case management system. Does not cover ongoing matter management, billing disputes, or client termination procedures.</w:t>
      </w:r>
    </w:p>
    <w:p>
      <w:pPr>
        <w:pStyle w:val="Heading2"/>
        <w:spacing w:after="100" w:before="240"/>
      </w:pPr>
      <w:r>
        <w:t xml:space="preserve">Prerequisites</w:t>
      </w:r>
    </w:p>
    <w:p>
      <w:pPr>
        <w:pStyle w:val="ListParagraph"/>
        <w:numPr>
          <w:ilvl w:val="0"/>
          <w:numId w:val="1"/>
        </w:numPr>
        <w:spacing w:after="40"/>
      </w:pPr>
      <w:r>
        <w:t xml:space="preserve">Clio or MyCase account configured with firm's practice areas and billing rates</w:t>
      </w:r>
    </w:p>
    <w:p>
      <w:pPr>
        <w:pStyle w:val="ListParagraph"/>
        <w:numPr>
          <w:ilvl w:val="0"/>
          <w:numId w:val="1"/>
        </w:numPr>
        <w:spacing w:after="40"/>
      </w:pPr>
      <w:r>
        <w:t xml:space="preserve">Conflict check database up to date with all current and former clients</w:t>
      </w:r>
    </w:p>
    <w:p>
      <w:pPr>
        <w:pStyle w:val="ListParagraph"/>
        <w:numPr>
          <w:ilvl w:val="0"/>
          <w:numId w:val="1"/>
        </w:numPr>
        <w:spacing w:after="40"/>
      </w:pPr>
      <w:r>
        <w:t xml:space="preserve">Engagement letter templates approved by managing partner for each practice area</w:t>
      </w:r>
    </w:p>
    <w:p>
      <w:pPr>
        <w:pStyle w:val="ListParagraph"/>
        <w:numPr>
          <w:ilvl w:val="0"/>
          <w:numId w:val="1"/>
        </w:numPr>
        <w:spacing w:after="40"/>
      </w:pPr>
      <w:r>
        <w:t xml:space="preserve">Trust account (IOLTA) set up and reconciled per state bar requirements</w:t>
      </w:r>
    </w:p>
    <w:p>
      <w:pPr>
        <w:pStyle w:val="ListParagraph"/>
        <w:numPr>
          <w:ilvl w:val="0"/>
          <w:numId w:val="1"/>
        </w:numPr>
        <w:spacing w:after="40"/>
      </w:pPr>
      <w:r>
        <w:t xml:space="preserve">Intake form template available in NetDocuments or firm shared drive</w:t>
      </w:r>
    </w:p>
    <w:p>
      <w:pPr>
        <w:pStyle w:val="Heading2"/>
        <w:spacing w:after="100" w:before="240"/>
      </w:pPr>
      <w:r>
        <w:t xml:space="preserve">Roles &amp; Responsibilities</w:t>
      </w:r>
    </w:p>
    <w:p>
      <w:pPr>
        <w:spacing w:after="40" w:before="120"/>
      </w:pPr>
      <w:r>
        <w:rPr>
          <w:b/>
          <w:bCs/>
        </w:rPr>
        <w:t xml:space="preserve">Intake Coordinator</w:t>
      </w:r>
    </w:p>
    <w:p>
      <w:pPr>
        <w:pStyle w:val="ListParagraph"/>
        <w:numPr>
          <w:ilvl w:val="0"/>
          <w:numId w:val="1"/>
        </w:numPr>
        <w:spacing w:after="40"/>
      </w:pPr>
      <w:r>
        <w:t xml:space="preserve">Collect prospective client information via intake form within 1 business day of initial contact</w:t>
      </w:r>
    </w:p>
    <w:p>
      <w:pPr>
        <w:pStyle w:val="ListParagraph"/>
        <w:numPr>
          <w:ilvl w:val="0"/>
          <w:numId w:val="1"/>
        </w:numPr>
        <w:spacing w:after="40"/>
      </w:pPr>
      <w:r>
        <w:t xml:space="preserve">Run conflict check in Clio and document results</w:t>
      </w:r>
    </w:p>
    <w:p>
      <w:pPr>
        <w:pStyle w:val="ListParagraph"/>
        <w:numPr>
          <w:ilvl w:val="0"/>
          <w:numId w:val="1"/>
        </w:numPr>
        <w:spacing w:after="40"/>
      </w:pPr>
      <w:r>
        <w:t xml:space="preserve">Schedule consultation with appropriate attorney based on practice area</w:t>
      </w:r>
    </w:p>
    <w:p>
      <w:pPr>
        <w:spacing w:after="40" w:before="120"/>
      </w:pPr>
      <w:r>
        <w:rPr>
          <w:b/>
          <w:bCs/>
        </w:rPr>
        <w:t xml:space="preserve">Responsible Attorney</w:t>
      </w:r>
    </w:p>
    <w:p>
      <w:pPr>
        <w:pStyle w:val="ListParagraph"/>
        <w:numPr>
          <w:ilvl w:val="0"/>
          <w:numId w:val="1"/>
        </w:numPr>
        <w:spacing w:after="40"/>
      </w:pPr>
      <w:r>
        <w:t xml:space="preserve">Conduct initial consultation and determine whether to accept the matter</w:t>
      </w:r>
    </w:p>
    <w:p>
      <w:pPr>
        <w:pStyle w:val="ListParagraph"/>
        <w:numPr>
          <w:ilvl w:val="0"/>
          <w:numId w:val="1"/>
        </w:numPr>
        <w:spacing w:after="40"/>
      </w:pPr>
      <w:r>
        <w:t xml:space="preserve">Review conflict check results and sign off before engagement</w:t>
      </w:r>
    </w:p>
    <w:p>
      <w:pPr>
        <w:pStyle w:val="ListParagraph"/>
        <w:numPr>
          <w:ilvl w:val="0"/>
          <w:numId w:val="1"/>
        </w:numPr>
        <w:spacing w:after="40"/>
      </w:pPr>
      <w:r>
        <w:t xml:space="preserve">Approve the engagement letter and fee arrangement</w:t>
      </w:r>
    </w:p>
    <w:p>
      <w:pPr>
        <w:spacing w:after="40" w:before="120"/>
      </w:pPr>
      <w:r>
        <w:rPr>
          <w:b/>
          <w:bCs/>
        </w:rPr>
        <w:t xml:space="preserve">Office Manager</w:t>
      </w:r>
    </w:p>
    <w:p>
      <w:pPr>
        <w:pStyle w:val="ListParagraph"/>
        <w:numPr>
          <w:ilvl w:val="0"/>
          <w:numId w:val="1"/>
        </w:numPr>
        <w:spacing w:after="40"/>
      </w:pPr>
      <w:r>
        <w:t xml:space="preserve">Create the matter in Clio with correct billing codes and responsible attorney</w:t>
      </w:r>
    </w:p>
    <w:p>
      <w:pPr>
        <w:pStyle w:val="ListParagraph"/>
        <w:numPr>
          <w:ilvl w:val="0"/>
          <w:numId w:val="1"/>
        </w:numPr>
        <w:spacing w:after="40"/>
      </w:pPr>
      <w:r>
        <w:t xml:space="preserve">Set up client folder structure in NetDocuments</w:t>
      </w:r>
    </w:p>
    <w:p>
      <w:pPr>
        <w:pStyle w:val="ListParagraph"/>
        <w:numPr>
          <w:ilvl w:val="0"/>
          <w:numId w:val="1"/>
        </w:numPr>
        <w:spacing w:after="40"/>
      </w:pPr>
      <w:r>
        <w:t xml:space="preserve">Process retainer deposit into the IOLTA trust account</w:t>
      </w:r>
    </w:p>
    <w:p>
      <w:pPr>
        <w:spacing w:after="40" w:before="120"/>
      </w:pPr>
      <w:r>
        <w:rPr>
          <w:b/>
          <w:bCs/>
        </w:rPr>
        <w:t xml:space="preserve">Paralegal</w:t>
      </w:r>
    </w:p>
    <w:p>
      <w:pPr>
        <w:pStyle w:val="ListParagraph"/>
        <w:numPr>
          <w:ilvl w:val="0"/>
          <w:numId w:val="1"/>
        </w:numPr>
        <w:spacing w:after="40"/>
      </w:pPr>
      <w:r>
        <w:t xml:space="preserve">Gather supporting documents from the client within 5 business days</w:t>
      </w:r>
    </w:p>
    <w:p>
      <w:pPr>
        <w:pStyle w:val="ListParagraph"/>
        <w:numPr>
          <w:ilvl w:val="0"/>
          <w:numId w:val="1"/>
        </w:numPr>
        <w:spacing w:after="40"/>
      </w:pPr>
      <w:r>
        <w:t xml:space="preserve">Populate the matter with key dates, deadlines, and statute of limitations</w:t>
      </w:r>
    </w:p>
    <w:p>
      <w:pPr>
        <w:pStyle w:val="Heading2"/>
        <w:spacing w:after="100" w:before="240"/>
      </w:pPr>
      <w:r>
        <w:t xml:space="preserve">Procedure</w:t>
      </w:r>
    </w:p>
    <w:p>
      <w:pPr>
        <w:pStyle w:val="Heading3"/>
        <w:spacing w:after="40" w:before="160"/>
      </w:pPr>
      <w:r>
        <w:t xml:space="preserve">Step 1: Receive and log the initial inquiry</w:t>
      </w:r>
    </w:p>
    <w:p>
      <w:pPr>
        <w:spacing w:after="100"/>
      </w:pPr>
      <w:r>
        <w:t xml:space="preserve">When a prospective client contacts the firm by phone, email, or web form, the intake coordinator logs the inquiry in Clio's contact module within 1 business day. Record the person's name, contact details, nature of the matter, opposing party names, and referral source.</w:t>
      </w:r>
    </w:p>
    <w:p>
      <w:pPr>
        <w:pStyle w:val="ListParagraph"/>
        <w:numPr>
          <w:ilvl w:val="1"/>
          <w:numId w:val="1"/>
        </w:numPr>
        <w:spacing w:after="40"/>
      </w:pPr>
      <w:r>
        <w:t xml:space="preserve">Open Clio and navigate to Contacts &gt; Add New</w:t>
      </w:r>
    </w:p>
    <w:p>
      <w:pPr>
        <w:pStyle w:val="ListParagraph"/>
        <w:numPr>
          <w:ilvl w:val="1"/>
          <w:numId w:val="1"/>
        </w:numPr>
        <w:spacing w:after="40"/>
      </w:pPr>
      <w:r>
        <w:t xml:space="preserve">Enter name, phone, email, and preferred contact method</w:t>
      </w:r>
    </w:p>
    <w:p>
      <w:pPr>
        <w:pStyle w:val="ListParagraph"/>
        <w:numPr>
          <w:ilvl w:val="1"/>
          <w:numId w:val="1"/>
        </w:numPr>
        <w:spacing w:after="40"/>
      </w:pPr>
      <w:r>
        <w:t xml:space="preserve">Note the matter type and opposing party names in the intake notes field</w:t>
      </w:r>
    </w:p>
    <w:p>
      <w:pPr>
        <w:pStyle w:val="ListParagraph"/>
        <w:numPr>
          <w:ilvl w:val="1"/>
          <w:numId w:val="1"/>
        </w:numPr>
        <w:spacing w:after="40"/>
      </w:pPr>
      <w:r>
        <w:t xml:space="preserve">Tag with referral source for marketing tracking</w:t>
      </w:r>
    </w:p>
    <w:p>
      <w:pPr>
        <w:spacing w:after="100"/>
      </w:pPr>
      <w:r>
        <w:rPr>
          <w:i/>
          <w:iCs/>
          <w:color w:val="1F7A4D"/>
        </w:rPr>
        <w:t xml:space="preserve">Tip: Collect opposing party names at first contact — waiting until after the consultation to run conflicts wastes everyone's time.</w:t>
      </w:r>
    </w:p>
    <w:p>
      <w:pPr>
        <w:pStyle w:val="Heading3"/>
        <w:spacing w:after="40" w:before="160"/>
      </w:pPr>
      <w:r>
        <w:t xml:space="preserve">Step 2: Run the conflict of interest check</w:t>
      </w:r>
    </w:p>
    <w:p>
      <w:pPr>
        <w:spacing w:after="100"/>
      </w:pPr>
      <w:r>
        <w:t xml:space="preserve">Search Clio's conflict check module for the prospective client name, all known opposing parties, and any related entities. Check against current clients, former clients, and adverse parties. Document the results in writing — even if no conflict is found.</w:t>
      </w:r>
    </w:p>
    <w:p>
      <w:pPr>
        <w:pStyle w:val="ListParagraph"/>
        <w:numPr>
          <w:ilvl w:val="1"/>
          <w:numId w:val="1"/>
        </w:numPr>
        <w:spacing w:after="40"/>
      </w:pPr>
      <w:r>
        <w:t xml:space="preserve">In Clio, go to Firm &gt; Conflict Search</w:t>
      </w:r>
    </w:p>
    <w:p>
      <w:pPr>
        <w:pStyle w:val="ListParagraph"/>
        <w:numPr>
          <w:ilvl w:val="1"/>
          <w:numId w:val="1"/>
        </w:numPr>
        <w:spacing w:after="40"/>
      </w:pPr>
      <w:r>
        <w:t xml:space="preserve">Search each party name individually (first/last and business name)</w:t>
      </w:r>
    </w:p>
    <w:p>
      <w:pPr>
        <w:pStyle w:val="ListParagraph"/>
        <w:numPr>
          <w:ilvl w:val="1"/>
          <w:numId w:val="1"/>
        </w:numPr>
        <w:spacing w:after="40"/>
      </w:pPr>
      <w:r>
        <w:t xml:space="preserve">Search any known related entities or aliases</w:t>
      </w:r>
    </w:p>
    <w:p>
      <w:pPr>
        <w:pStyle w:val="ListParagraph"/>
        <w:numPr>
          <w:ilvl w:val="1"/>
          <w:numId w:val="1"/>
        </w:numPr>
        <w:spacing w:after="40"/>
      </w:pPr>
      <w:r>
        <w:t xml:space="preserve">Screenshot or export the results and save to the intake file</w:t>
      </w:r>
    </w:p>
    <w:p>
      <w:pPr>
        <w:spacing w:after="100"/>
      </w:pPr>
      <w:r>
        <w:rPr>
          <w:i/>
          <w:iCs/>
          <w:color w:val="B45309"/>
        </w:rPr>
        <w:t xml:space="preserve">Warning: A missed conflict check is a bar complaint waiting to happen. Never skip this step, even for referrals from existing clients. Document the search even when results are clean.</w:t>
      </w:r>
    </w:p>
    <w:p>
      <w:pPr>
        <w:pStyle w:val="Heading3"/>
        <w:spacing w:after="40" w:before="160"/>
      </w:pPr>
      <w:r>
        <w:t xml:space="preserve">Step 3: Schedule and conduct the initial consultation</w:t>
      </w:r>
    </w:p>
    <w:p>
      <w:pPr>
        <w:spacing w:after="100"/>
      </w:pPr>
      <w:r>
        <w:t xml:space="preserve">The intake coordinator schedules a 30-to-60-minute consultation with the appropriate attorney based on practice area. Send the prospective client a confirmation email with date, time, location (or video link), and a list of documents to bring. The attorney evaluates the matter and decides whether to accept.</w:t>
      </w:r>
    </w:p>
    <w:p>
      <w:pPr>
        <w:pStyle w:val="ListParagraph"/>
        <w:numPr>
          <w:ilvl w:val="1"/>
          <w:numId w:val="1"/>
        </w:numPr>
        <w:spacing w:after="40"/>
      </w:pPr>
      <w:r>
        <w:t xml:space="preserve">Check the attorney's calendar in Microsoft 365 for available slots</w:t>
      </w:r>
    </w:p>
    <w:p>
      <w:pPr>
        <w:pStyle w:val="ListParagraph"/>
        <w:numPr>
          <w:ilvl w:val="1"/>
          <w:numId w:val="1"/>
        </w:numPr>
        <w:spacing w:after="40"/>
      </w:pPr>
      <w:r>
        <w:t xml:space="preserve">Send calendar invite to both attorney and prospective client</w:t>
      </w:r>
    </w:p>
    <w:p>
      <w:pPr>
        <w:pStyle w:val="ListParagraph"/>
        <w:numPr>
          <w:ilvl w:val="1"/>
          <w:numId w:val="1"/>
        </w:numPr>
        <w:spacing w:after="40"/>
      </w:pPr>
      <w:r>
        <w:t xml:space="preserve">Attach the intake questionnaire for the client to complete before the meeting</w:t>
      </w:r>
    </w:p>
    <w:p>
      <w:pPr>
        <w:pStyle w:val="ListParagraph"/>
        <w:numPr>
          <w:ilvl w:val="1"/>
          <w:numId w:val="1"/>
        </w:numPr>
        <w:spacing w:after="40"/>
      </w:pPr>
      <w:r>
        <w:t xml:space="preserve">Include directions or video conference link</w:t>
      </w:r>
    </w:p>
    <w:p>
      <w:pPr>
        <w:pStyle w:val="Heading3"/>
        <w:spacing w:after="40" w:before="160"/>
      </w:pPr>
      <w:r>
        <w:t xml:space="preserve">Step 4: Issue the engagement letter</w:t>
      </w:r>
    </w:p>
    <w:p>
      <w:pPr>
        <w:spacing w:after="100"/>
      </w:pPr>
      <w:r>
        <w:t xml:space="preserve">If the attorney decides to accept the matter, the office manager pulls the appropriate engagement letter template from NetDocuments, customizes it with the client name, matter description, fee arrangement (hourly, flat fee, or contingency), and billing terms. Send via DocuSign or print for wet signature.</w:t>
      </w:r>
    </w:p>
    <w:p>
      <w:pPr>
        <w:pStyle w:val="ListParagraph"/>
        <w:numPr>
          <w:ilvl w:val="1"/>
          <w:numId w:val="1"/>
        </w:numPr>
        <w:spacing w:after="40"/>
      </w:pPr>
      <w:r>
        <w:t xml:space="preserve">Select the correct engagement letter template for the practice area</w:t>
      </w:r>
    </w:p>
    <w:p>
      <w:pPr>
        <w:pStyle w:val="ListParagraph"/>
        <w:numPr>
          <w:ilvl w:val="1"/>
          <w:numId w:val="1"/>
        </w:numPr>
        <w:spacing w:after="40"/>
      </w:pPr>
      <w:r>
        <w:t xml:space="preserve">Fill in client name, matter description, and fee structure</w:t>
      </w:r>
    </w:p>
    <w:p>
      <w:pPr>
        <w:pStyle w:val="ListParagraph"/>
        <w:numPr>
          <w:ilvl w:val="1"/>
          <w:numId w:val="1"/>
        </w:numPr>
        <w:spacing w:after="40"/>
      </w:pPr>
      <w:r>
        <w:t xml:space="preserve">Include the firm's retainer requirements and trust account details</w:t>
      </w:r>
    </w:p>
    <w:p>
      <w:pPr>
        <w:pStyle w:val="ListParagraph"/>
        <w:numPr>
          <w:ilvl w:val="1"/>
          <w:numId w:val="1"/>
        </w:numPr>
        <w:spacing w:after="40"/>
      </w:pPr>
      <w:r>
        <w:t xml:space="preserve">Route for attorney signature, then send to client</w:t>
      </w:r>
    </w:p>
    <w:p>
      <w:pPr>
        <w:spacing w:after="100"/>
      </w:pPr>
      <w:r>
        <w:rPr>
          <w:i/>
          <w:iCs/>
          <w:color w:val="B45309"/>
        </w:rPr>
        <w:t xml:space="preserve">Warning: Never begin substantive work before the signed engagement letter is returned. This protects both the firm and the client.</w:t>
      </w:r>
    </w:p>
    <w:p>
      <w:pPr>
        <w:pStyle w:val="Heading3"/>
        <w:spacing w:after="40" w:before="160"/>
      </w:pPr>
      <w:r>
        <w:t xml:space="preserve">Step 5: Collect the retainer and deposit into trust</w:t>
      </w:r>
    </w:p>
    <w:p>
      <w:pPr>
        <w:spacing w:after="100"/>
      </w:pPr>
      <w:r>
        <w:t xml:space="preserve">Once the engagement letter is signed, collect the retainer payment. Deposit the retainer into the firm's IOLTA trust account — not the operating account. Log the deposit in Clio's trust accounting module with the client name, matter number, and amount.</w:t>
      </w:r>
    </w:p>
    <w:p>
      <w:pPr>
        <w:pStyle w:val="ListParagraph"/>
        <w:numPr>
          <w:ilvl w:val="1"/>
          <w:numId w:val="1"/>
        </w:numPr>
        <w:spacing w:after="40"/>
      </w:pPr>
      <w:r>
        <w:t xml:space="preserve">Receive payment via check, wire, or credit card</w:t>
      </w:r>
    </w:p>
    <w:p>
      <w:pPr>
        <w:pStyle w:val="ListParagraph"/>
        <w:numPr>
          <w:ilvl w:val="1"/>
          <w:numId w:val="1"/>
        </w:numPr>
        <w:spacing w:after="40"/>
      </w:pPr>
      <w:r>
        <w:t xml:space="preserve">Deposit into IOLTA trust account within 1 business day</w:t>
      </w:r>
    </w:p>
    <w:p>
      <w:pPr>
        <w:pStyle w:val="ListParagraph"/>
        <w:numPr>
          <w:ilvl w:val="1"/>
          <w:numId w:val="1"/>
        </w:numPr>
        <w:spacing w:after="40"/>
      </w:pPr>
      <w:r>
        <w:t xml:space="preserve">Record the trust deposit in Clio under the client's matter</w:t>
      </w:r>
    </w:p>
    <w:p>
      <w:pPr>
        <w:pStyle w:val="ListParagraph"/>
        <w:numPr>
          <w:ilvl w:val="1"/>
          <w:numId w:val="1"/>
        </w:numPr>
        <w:spacing w:after="40"/>
      </w:pPr>
      <w:r>
        <w:t xml:space="preserve">Send the client a receipt confirming the deposit</w:t>
      </w:r>
    </w:p>
    <w:p>
      <w:pPr>
        <w:spacing w:after="100"/>
      </w:pPr>
      <w:r>
        <w:rPr>
          <w:i/>
          <w:iCs/>
          <w:color w:val="B45309"/>
        </w:rPr>
        <w:t xml:space="preserve">Warning: Commingling client funds with operating funds is one of the most common reasons attorneys face disciplinary action. Always deposit retainers into the trust account first.</w:t>
      </w:r>
    </w:p>
    <w:p>
      <w:pPr>
        <w:pStyle w:val="Heading3"/>
        <w:spacing w:after="40" w:before="160"/>
      </w:pPr>
      <w:r>
        <w:t xml:space="preserve">Step 6: Open the matter in Clio</w:t>
      </w:r>
    </w:p>
    <w:p>
      <w:pPr>
        <w:spacing w:after="100"/>
      </w:pPr>
      <w:r>
        <w:t xml:space="preserve">The office manager creates a new matter in Clio linked to the client contact. Set the matter type, practice area, responsible attorney, originating attorney, billing rate, and statute of limitations date. Assign the paralegal and any other team members.</w:t>
      </w:r>
    </w:p>
    <w:p>
      <w:pPr>
        <w:pStyle w:val="ListParagraph"/>
        <w:numPr>
          <w:ilvl w:val="1"/>
          <w:numId w:val="1"/>
        </w:numPr>
        <w:spacing w:after="40"/>
      </w:pPr>
      <w:r>
        <w:t xml:space="preserve">Navigate to Matters &gt; Create New in Clio</w:t>
      </w:r>
    </w:p>
    <w:p>
      <w:pPr>
        <w:pStyle w:val="ListParagraph"/>
        <w:numPr>
          <w:ilvl w:val="1"/>
          <w:numId w:val="1"/>
        </w:numPr>
        <w:spacing w:after="40"/>
      </w:pPr>
      <w:r>
        <w:t xml:space="preserve">Link to the client contact record</w:t>
      </w:r>
    </w:p>
    <w:p>
      <w:pPr>
        <w:pStyle w:val="ListParagraph"/>
        <w:numPr>
          <w:ilvl w:val="1"/>
          <w:numId w:val="1"/>
        </w:numPr>
        <w:spacing w:after="40"/>
      </w:pPr>
      <w:r>
        <w:t xml:space="preserve">Set practice area, matter type, and billing configuration</w:t>
      </w:r>
    </w:p>
    <w:p>
      <w:pPr>
        <w:pStyle w:val="ListParagraph"/>
        <w:numPr>
          <w:ilvl w:val="1"/>
          <w:numId w:val="1"/>
        </w:numPr>
        <w:spacing w:after="40"/>
      </w:pPr>
      <w:r>
        <w:t xml:space="preserve">Add responsible attorney, originating attorney, and paralegal</w:t>
      </w:r>
    </w:p>
    <w:p>
      <w:pPr>
        <w:pStyle w:val="ListParagraph"/>
        <w:numPr>
          <w:ilvl w:val="1"/>
          <w:numId w:val="1"/>
        </w:numPr>
        <w:spacing w:after="40"/>
      </w:pPr>
      <w:r>
        <w:t xml:space="preserve">Enter the statute of limitations date as a critical deadline</w:t>
      </w:r>
    </w:p>
    <w:p>
      <w:pPr>
        <w:pStyle w:val="Heading3"/>
        <w:spacing w:after="40" w:before="160"/>
      </w:pPr>
      <w:r>
        <w:t xml:space="preserve">Step 7: Set up the document folder structure</w:t>
      </w:r>
    </w:p>
    <w:p>
      <w:pPr>
        <w:spacing w:after="100"/>
      </w:pPr>
      <w:r>
        <w:t xml:space="preserve">Create the matter folder in NetDocuments using the firm's standard folder template. Include subfolders for correspondence, pleadings, discovery, client documents, and billing. Link the folder to the Clio matter for easy cross-reference.</w:t>
      </w:r>
    </w:p>
    <w:p>
      <w:pPr>
        <w:pStyle w:val="ListParagraph"/>
        <w:numPr>
          <w:ilvl w:val="1"/>
          <w:numId w:val="1"/>
        </w:numPr>
        <w:spacing w:after="40"/>
      </w:pPr>
      <w:r>
        <w:t xml:space="preserve">Create matter folder using the standard naming convention: [Matter#] - [Client Name] - [Short Description]</w:t>
      </w:r>
    </w:p>
    <w:p>
      <w:pPr>
        <w:pStyle w:val="ListParagraph"/>
        <w:numPr>
          <w:ilvl w:val="1"/>
          <w:numId w:val="1"/>
        </w:numPr>
        <w:spacing w:after="40"/>
      </w:pPr>
      <w:r>
        <w:t xml:space="preserve">Apply the practice-area folder template</w:t>
      </w:r>
    </w:p>
    <w:p>
      <w:pPr>
        <w:pStyle w:val="ListParagraph"/>
        <w:numPr>
          <w:ilvl w:val="1"/>
          <w:numId w:val="1"/>
        </w:numPr>
        <w:spacing w:after="40"/>
      </w:pPr>
      <w:r>
        <w:t xml:space="preserve">Save the signed engagement letter as the first document</w:t>
      </w:r>
    </w:p>
    <w:p>
      <w:pPr>
        <w:pStyle w:val="ListParagraph"/>
        <w:numPr>
          <w:ilvl w:val="1"/>
          <w:numId w:val="1"/>
        </w:numPr>
        <w:spacing w:after="40"/>
      </w:pPr>
      <w:r>
        <w:t xml:space="preserve">Set folder permissions based on matter team members</w:t>
      </w:r>
    </w:p>
    <w:p>
      <w:pPr>
        <w:pStyle w:val="Heading3"/>
        <w:spacing w:after="40" w:before="160"/>
      </w:pPr>
      <w:r>
        <w:t xml:space="preserve">Step 8: Send the welcome packet to the client</w:t>
      </w:r>
    </w:p>
    <w:p>
      <w:pPr>
        <w:spacing w:after="100"/>
      </w:pPr>
      <w:r>
        <w:t xml:space="preserve">Within 2 business days of engagement, send the client a welcome email with: a copy of the signed engagement letter, the paralegal's direct contact information, a list of documents needed from the client, and next steps with expected timeline. Set expectations early.</w:t>
      </w:r>
    </w:p>
    <w:p>
      <w:pPr>
        <w:spacing w:after="100"/>
      </w:pPr>
      <w:r>
        <w:rPr>
          <w:i/>
          <w:iCs/>
          <w:color w:val="1F7A4D"/>
        </w:rPr>
        <w:t xml:space="preserve">Tip: Include the attorney's direct line and the paralegal's email. Clients who don't know who to call end up calling the front desk repeatedly, which slows everyone down.</w:t>
      </w:r>
    </w:p>
    <w:p>
      <w:pPr>
        <w:pStyle w:val="Heading3"/>
        <w:spacing w:after="40" w:before="160"/>
      </w:pPr>
      <w:r>
        <w:t xml:space="preserve">Step 9: Gather initial documents and populate key dates</w:t>
      </w:r>
    </w:p>
    <w:p>
      <w:pPr>
        <w:spacing w:after="100"/>
      </w:pPr>
      <w:r>
        <w:t xml:space="preserve">The paralegal contacts the client to collect all relevant documents within 5 business days. Upload documents to NetDocuments in the correct subfolders. Enter all critical dates, deadlines, and statute of limitations into Clio's calendar and task system.</w:t>
      </w:r>
    </w:p>
    <w:p>
      <w:pPr>
        <w:pStyle w:val="ListParagraph"/>
        <w:numPr>
          <w:ilvl w:val="1"/>
          <w:numId w:val="1"/>
        </w:numPr>
        <w:spacing w:after="40"/>
      </w:pPr>
      <w:r>
        <w:t xml:space="preserve">Send the client a document request list specific to the matter type</w:t>
      </w:r>
    </w:p>
    <w:p>
      <w:pPr>
        <w:pStyle w:val="ListParagraph"/>
        <w:numPr>
          <w:ilvl w:val="1"/>
          <w:numId w:val="1"/>
        </w:numPr>
        <w:spacing w:after="40"/>
      </w:pPr>
      <w:r>
        <w:t xml:space="preserve">Follow up at 3 business days if documents haven't arrived</w:t>
      </w:r>
    </w:p>
    <w:p>
      <w:pPr>
        <w:pStyle w:val="ListParagraph"/>
        <w:numPr>
          <w:ilvl w:val="1"/>
          <w:numId w:val="1"/>
        </w:numPr>
        <w:spacing w:after="40"/>
      </w:pPr>
      <w:r>
        <w:t xml:space="preserve">Upload received documents to the correct NetDocuments subfolder</w:t>
      </w:r>
    </w:p>
    <w:p>
      <w:pPr>
        <w:pStyle w:val="ListParagraph"/>
        <w:numPr>
          <w:ilvl w:val="1"/>
          <w:numId w:val="1"/>
        </w:numPr>
        <w:spacing w:after="40"/>
      </w:pPr>
      <w:r>
        <w:t xml:space="preserve">Enter all known deadlines and statute dates into Clio</w:t>
      </w:r>
    </w:p>
    <w:p>
      <w:pPr>
        <w:spacing w:after="100"/>
      </w:pPr>
      <w:r>
        <w:rPr>
          <w:i/>
          <w:iCs/>
          <w:color w:val="B45309"/>
        </w:rPr>
        <w:t xml:space="preserve">Warning: Missing a statute of limitations is malpractice. Enter the deadline in Clio immediately upon matter opening and set a reminder at 90, 60, and 30 days out.</w:t>
      </w:r>
    </w:p>
    <w:p>
      <w:pPr>
        <w:pStyle w:val="Heading2"/>
        <w:spacing w:after="100" w:before="240"/>
      </w:pPr>
      <w:r>
        <w:t xml:space="preserve">Completion Checklist</w:t>
      </w:r>
    </w:p>
    <w:p>
      <w:pPr>
        <w:spacing w:after="40"/>
      </w:pPr>
      <w:r>
        <w:t xml:space="preserve">☐  Inquiry logged in Clio within 1 business day</w:t>
      </w:r>
    </w:p>
    <w:p>
      <w:pPr>
        <w:spacing w:after="40"/>
      </w:pPr>
      <w:r>
        <w:t xml:space="preserve">☐  Conflict check completed and documented before consultation</w:t>
      </w:r>
    </w:p>
    <w:p>
      <w:pPr>
        <w:spacing w:after="40"/>
      </w:pPr>
      <w:r>
        <w:t xml:space="preserve">☐  Initial consultation conducted with appropriate attorney</w:t>
      </w:r>
    </w:p>
    <w:p>
      <w:pPr>
        <w:spacing w:after="40"/>
      </w:pPr>
      <w:r>
        <w:t xml:space="preserve">☐  Engagement letter signed by both client and attorney</w:t>
      </w:r>
    </w:p>
    <w:p>
      <w:pPr>
        <w:spacing w:after="40"/>
      </w:pPr>
      <w:r>
        <w:t xml:space="preserve">☐  Retainer deposited into IOLTA trust account (not operating)</w:t>
      </w:r>
    </w:p>
    <w:p>
      <w:pPr>
        <w:spacing w:after="40"/>
      </w:pPr>
      <w:r>
        <w:t xml:space="preserve">☐  Trust deposit recorded in Clio trust accounting module</w:t>
      </w:r>
    </w:p>
    <w:p>
      <w:pPr>
        <w:spacing w:after="40"/>
      </w:pPr>
      <w:r>
        <w:t xml:space="preserve">☐  Matter created in Clio with correct billing configuration</w:t>
      </w:r>
    </w:p>
    <w:p>
      <w:pPr>
        <w:spacing w:after="40"/>
      </w:pPr>
      <w:r>
        <w:t xml:space="preserve">☐  Document folder created in NetDocuments with standard structure</w:t>
      </w:r>
    </w:p>
    <w:p>
      <w:pPr>
        <w:spacing w:after="40"/>
      </w:pPr>
      <w:r>
        <w:t xml:space="preserve">☐  Welcome packet sent to client within 2 business days</w:t>
      </w:r>
    </w:p>
    <w:p>
      <w:pPr>
        <w:spacing w:after="40"/>
      </w:pPr>
      <w:r>
        <w:t xml:space="preserve">☐  Initial documents collected from client within 5 business days</w:t>
      </w:r>
    </w:p>
    <w:p>
      <w:pPr>
        <w:spacing w:after="40"/>
      </w:pPr>
      <w:r>
        <w:t xml:space="preserve">☐  Statute of limitations and critical deadlines entered in Clio</w:t>
      </w:r>
    </w:p>
    <w:p>
      <w:pPr>
        <w:spacing w:after="40"/>
      </w:pPr>
      <w:r>
        <w:t xml:space="preserve">☐  Matter team members assigned and notified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Time from inquiry to conflict check completion</w:t>
            </w:r>
          </w:p>
        </w:tc>
        <w:tc>
          <w:tcPr>
            <w:tcMar>
              <w:top w:type="dxa" w:w="60"/>
              <w:left w:type="dxa" w:w="120"/>
              <w:bottom w:type="dxa" w:w="60"/>
              <w:right w:type="dxa" w:w="120"/>
            </w:tcMar>
          </w:tcPr>
          <w:p>
            <w:r>
              <w:rPr>
                <w:b w:val="false"/>
                <w:bCs w:val="false"/>
              </w:rPr>
              <w:t xml:space="preserve">Under 1 business day</w:t>
            </w:r>
          </w:p>
        </w:tc>
      </w:tr>
      <w:tr>
        <w:trPr>
          <w:tblHeader w:val="false"/>
        </w:trPr>
        <w:tc>
          <w:tcPr>
            <w:tcMar>
              <w:top w:type="dxa" w:w="60"/>
              <w:left w:type="dxa" w:w="120"/>
              <w:bottom w:type="dxa" w:w="60"/>
              <w:right w:type="dxa" w:w="120"/>
            </w:tcMar>
          </w:tcPr>
          <w:p>
            <w:r>
              <w:rPr>
                <w:b w:val="false"/>
                <w:bCs w:val="false"/>
              </w:rPr>
              <w:t xml:space="preserve">Time from consultation to signed engagement letter</w:t>
            </w:r>
          </w:p>
        </w:tc>
        <w:tc>
          <w:tcPr>
            <w:tcMar>
              <w:top w:type="dxa" w:w="60"/>
              <w:left w:type="dxa" w:w="120"/>
              <w:bottom w:type="dxa" w:w="60"/>
              <w:right w:type="dxa" w:w="120"/>
            </w:tcMar>
          </w:tcPr>
          <w:p>
            <w:r>
              <w:rPr>
                <w:b w:val="false"/>
                <w:bCs w:val="false"/>
              </w:rPr>
              <w:t xml:space="preserve">Under 3 business days</w:t>
            </w:r>
          </w:p>
        </w:tc>
      </w:tr>
      <w:tr>
        <w:trPr>
          <w:tblHeader w:val="false"/>
        </w:trPr>
        <w:tc>
          <w:tcPr>
            <w:tcMar>
              <w:top w:type="dxa" w:w="60"/>
              <w:left w:type="dxa" w:w="120"/>
              <w:bottom w:type="dxa" w:w="60"/>
              <w:right w:type="dxa" w:w="120"/>
            </w:tcMar>
          </w:tcPr>
          <w:p>
            <w:r>
              <w:rPr>
                <w:b w:val="false"/>
                <w:bCs w:val="false"/>
              </w:rPr>
              <w:t xml:space="preserve">Retainer deposit into trust account</w:t>
            </w:r>
          </w:p>
        </w:tc>
        <w:tc>
          <w:tcPr>
            <w:tcMar>
              <w:top w:type="dxa" w:w="60"/>
              <w:left w:type="dxa" w:w="120"/>
              <w:bottom w:type="dxa" w:w="60"/>
              <w:right w:type="dxa" w:w="120"/>
            </w:tcMar>
          </w:tcPr>
          <w:p>
            <w:r>
              <w:rPr>
                <w:b w:val="false"/>
                <w:bCs w:val="false"/>
              </w:rPr>
              <w:t xml:space="preserve">Within 1 business day of receipt</w:t>
            </w:r>
          </w:p>
        </w:tc>
      </w:tr>
      <w:tr>
        <w:trPr>
          <w:tblHeader w:val="false"/>
        </w:trPr>
        <w:tc>
          <w:tcPr>
            <w:tcMar>
              <w:top w:type="dxa" w:w="60"/>
              <w:left w:type="dxa" w:w="120"/>
              <w:bottom w:type="dxa" w:w="60"/>
              <w:right w:type="dxa" w:w="120"/>
            </w:tcMar>
          </w:tcPr>
          <w:p>
            <w:r>
              <w:rPr>
                <w:b w:val="false"/>
                <w:bCs w:val="false"/>
              </w:rPr>
              <w:t xml:space="preserve">Welcome packet sent</w:t>
            </w:r>
          </w:p>
        </w:tc>
        <w:tc>
          <w:tcPr>
            <w:tcMar>
              <w:top w:type="dxa" w:w="60"/>
              <w:left w:type="dxa" w:w="120"/>
              <w:bottom w:type="dxa" w:w="60"/>
              <w:right w:type="dxa" w:w="120"/>
            </w:tcMar>
          </w:tcPr>
          <w:p>
            <w:r>
              <w:rPr>
                <w:b w:val="false"/>
                <w:bCs w:val="false"/>
              </w:rPr>
              <w:t xml:space="preserve">Within 2 business days of engagement</w:t>
            </w:r>
          </w:p>
        </w:tc>
      </w:tr>
      <w:tr>
        <w:trPr>
          <w:tblHeader w:val="false"/>
        </w:trPr>
        <w:tc>
          <w:tcPr>
            <w:tcMar>
              <w:top w:type="dxa" w:w="60"/>
              <w:left w:type="dxa" w:w="120"/>
              <w:bottom w:type="dxa" w:w="60"/>
              <w:right w:type="dxa" w:w="120"/>
            </w:tcMar>
          </w:tcPr>
          <w:p>
            <w:r>
              <w:rPr>
                <w:b w:val="false"/>
                <w:bCs w:val="false"/>
              </w:rPr>
              <w:t xml:space="preserve">Initial document collection</w:t>
            </w:r>
          </w:p>
        </w:tc>
        <w:tc>
          <w:tcPr>
            <w:tcMar>
              <w:top w:type="dxa" w:w="60"/>
              <w:left w:type="dxa" w:w="120"/>
              <w:bottom w:type="dxa" w:w="60"/>
              <w:right w:type="dxa" w:w="120"/>
            </w:tcMar>
          </w:tcPr>
          <w:p>
            <w:r>
              <w:rPr>
                <w:b w:val="false"/>
                <w:bCs w:val="false"/>
              </w:rPr>
              <w:t xml:space="preserve">Within 5 business days of matter opening</w:t>
            </w:r>
          </w:p>
        </w:tc>
      </w:tr>
    </w:tbl>
    <w:p>
      <w:pPr>
        <w:pStyle w:val="Heading2"/>
        <w:spacing w:after="100" w:before="240"/>
      </w:pPr>
      <w:r>
        <w:t xml:space="preserve">Revision Schedule</w:t>
      </w:r>
    </w:p>
    <w:p>
      <w:pPr>
        <w:spacing w:after="100"/>
      </w:pPr>
      <w:r>
        <w:t xml:space="preserve">Annually, or immediately after changes to state bar rules, fee structures, or case management system migration.</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Client Onboarding for Legal</dc:title>
  <dc:creator>Glyde</dc:creator>
  <dc:description>Free client onboarding SOP template for legal operations teams. Step-by-step intake, conflict checks, and engagement letters.</dc:description>
  <cp:lastModifiedBy>Un-named</cp:lastModifiedBy>
  <cp:revision>1</cp:revision>
  <dcterms:created xsi:type="dcterms:W3CDTF">2026-07-22T08:34:35.205Z</dcterms:created>
  <dcterms:modified xsi:type="dcterms:W3CDTF">2026-07-22T08:34:35.205Z</dcterms:modified>
</cp:coreProperties>
</file>

<file path=docProps/custom.xml><?xml version="1.0" encoding="utf-8"?>
<Properties xmlns="http://schemas.openxmlformats.org/officeDocument/2006/custom-properties" xmlns:vt="http://schemas.openxmlformats.org/officeDocument/2006/docPropsVTypes"/>
</file>