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Nonprofit Client Onboarding Standard Operating Procedure Template</w:t>
      </w:r>
    </w:p>
    <w:p>
      <w:pPr>
        <w:spacing w:after="200"/>
      </w:pPr>
      <w:r>
        <w:rPr>
          <w:i/>
          <w:iCs/>
          <w:color w:val="6B7280"/>
        </w:rPr>
        <w:t xml:space="preserve">Free client onboarding SOP for nonprofits. Covers intake assessment, eligibility verification, and service enrollment.</w:t>
      </w:r>
    </w:p>
    <w:p>
      <w:pPr>
        <w:pStyle w:val="Heading2"/>
        <w:spacing w:after="100" w:before="240"/>
      </w:pPr>
      <w:r>
        <w:t xml:space="preserve">Purpose</w:t>
      </w:r>
    </w:p>
    <w:p>
      <w:pPr>
        <w:spacing w:after="100"/>
      </w:pPr>
      <w:r>
        <w:t xml:space="preserve">Enroll new clients or participants into programs through a consistent intake process that verifies eligibility, collects required documentation, and sets expectations for service delivery. For grant-funded programs, proper intake documentation is the foundation of compliance — if you can't prove eligibility, the funder can disallow the costs.</w:t>
      </w:r>
    </w:p>
    <w:p>
      <w:pPr>
        <w:pStyle w:val="Heading2"/>
        <w:spacing w:after="100" w:before="240"/>
      </w:pPr>
      <w:r>
        <w:t xml:space="preserve">Scope</w:t>
      </w:r>
    </w:p>
    <w:p>
      <w:pPr>
        <w:spacing w:after="100"/>
      </w:pPr>
      <w:r>
        <w:t xml:space="preserve">Covers initial contact through full enrollment for program participants. Does not cover donor onboarding, volunteer onboarding, or referrals to external agencies.</w:t>
      </w:r>
    </w:p>
    <w:p>
      <w:pPr>
        <w:pStyle w:val="Heading2"/>
        <w:spacing w:after="100" w:before="240"/>
      </w:pPr>
      <w:r>
        <w:t xml:space="preserve">Prerequisites</w:t>
      </w:r>
    </w:p>
    <w:p>
      <w:pPr>
        <w:pStyle w:val="ListParagraph"/>
        <w:numPr>
          <w:ilvl w:val="0"/>
          <w:numId w:val="1"/>
        </w:numPr>
        <w:spacing w:after="40"/>
      </w:pPr>
      <w:r>
        <w:t xml:space="preserve">Eligibility criteria defined for each program</w:t>
      </w:r>
    </w:p>
    <w:p>
      <w:pPr>
        <w:pStyle w:val="ListParagraph"/>
        <w:numPr>
          <w:ilvl w:val="0"/>
          <w:numId w:val="1"/>
        </w:numPr>
        <w:spacing w:after="40"/>
      </w:pPr>
      <w:r>
        <w:t xml:space="preserve">Intake forms and consent documents prepared</w:t>
      </w:r>
    </w:p>
    <w:p>
      <w:pPr>
        <w:pStyle w:val="ListParagraph"/>
        <w:numPr>
          <w:ilvl w:val="0"/>
          <w:numId w:val="1"/>
        </w:numPr>
        <w:spacing w:after="40"/>
      </w:pPr>
      <w:r>
        <w:t xml:space="preserve">Client database or case management system configured</w:t>
      </w:r>
    </w:p>
    <w:p>
      <w:pPr>
        <w:pStyle w:val="ListParagraph"/>
        <w:numPr>
          <w:ilvl w:val="0"/>
          <w:numId w:val="1"/>
        </w:numPr>
        <w:spacing w:after="40"/>
      </w:pPr>
      <w:r>
        <w:t xml:space="preserve">Staff trained on intake procedures and cultural competency</w:t>
      </w:r>
    </w:p>
    <w:p>
      <w:pPr>
        <w:pStyle w:val="ListParagraph"/>
        <w:numPr>
          <w:ilvl w:val="0"/>
          <w:numId w:val="1"/>
        </w:numPr>
        <w:spacing w:after="40"/>
      </w:pPr>
      <w:r>
        <w:t xml:space="preserve">Privacy and confidentiality policies in place</w:t>
      </w:r>
    </w:p>
    <w:p>
      <w:pPr>
        <w:pStyle w:val="Heading2"/>
        <w:spacing w:after="100" w:before="240"/>
      </w:pPr>
      <w:r>
        <w:t xml:space="preserve">Roles &amp; Responsibilities</w:t>
      </w:r>
    </w:p>
    <w:p>
      <w:pPr>
        <w:spacing w:after="40" w:before="120"/>
      </w:pPr>
      <w:r>
        <w:rPr>
          <w:b/>
          <w:bCs/>
        </w:rPr>
        <w:t xml:space="preserve">Intake Coordinator</w:t>
      </w:r>
    </w:p>
    <w:p>
      <w:pPr>
        <w:pStyle w:val="ListParagraph"/>
        <w:numPr>
          <w:ilvl w:val="0"/>
          <w:numId w:val="1"/>
        </w:numPr>
        <w:spacing w:after="40"/>
      </w:pPr>
      <w:r>
        <w:t xml:space="preserve">Conduct initial screening and eligibility assessment</w:t>
      </w:r>
    </w:p>
    <w:p>
      <w:pPr>
        <w:pStyle w:val="ListParagraph"/>
        <w:numPr>
          <w:ilvl w:val="0"/>
          <w:numId w:val="1"/>
        </w:numPr>
        <w:spacing w:after="40"/>
      </w:pPr>
      <w:r>
        <w:t xml:space="preserve">Complete intake paperwork and collect required documentation</w:t>
      </w:r>
    </w:p>
    <w:p>
      <w:pPr>
        <w:pStyle w:val="ListParagraph"/>
        <w:numPr>
          <w:ilvl w:val="0"/>
          <w:numId w:val="1"/>
        </w:numPr>
        <w:spacing w:after="40"/>
      </w:pPr>
      <w:r>
        <w:t xml:space="preserve">Enter client data into the case management system</w:t>
      </w:r>
    </w:p>
    <w:p>
      <w:pPr>
        <w:spacing w:after="40" w:before="120"/>
      </w:pPr>
      <w:r>
        <w:rPr>
          <w:b/>
          <w:bCs/>
        </w:rPr>
        <w:t xml:space="preserve">Program Manager</w:t>
      </w:r>
    </w:p>
    <w:p>
      <w:pPr>
        <w:pStyle w:val="ListParagraph"/>
        <w:numPr>
          <w:ilvl w:val="0"/>
          <w:numId w:val="1"/>
        </w:numPr>
        <w:spacing w:after="40"/>
      </w:pPr>
      <w:r>
        <w:t xml:space="preserve">Review intake documentation for completeness</w:t>
      </w:r>
    </w:p>
    <w:p>
      <w:pPr>
        <w:pStyle w:val="ListParagraph"/>
        <w:numPr>
          <w:ilvl w:val="0"/>
          <w:numId w:val="1"/>
        </w:numPr>
        <w:spacing w:after="40"/>
      </w:pPr>
      <w:r>
        <w:t xml:space="preserve">Assign clients to appropriate services and staff</w:t>
      </w:r>
    </w:p>
    <w:p>
      <w:pPr>
        <w:pStyle w:val="ListParagraph"/>
        <w:numPr>
          <w:ilvl w:val="0"/>
          <w:numId w:val="1"/>
        </w:numPr>
        <w:spacing w:after="40"/>
      </w:pPr>
      <w:r>
        <w:t xml:space="preserve">Monitor enrollment numbers against program capacity</w:t>
      </w:r>
    </w:p>
    <w:p>
      <w:pPr>
        <w:spacing w:after="40" w:before="120"/>
      </w:pPr>
      <w:r>
        <w:rPr>
          <w:b/>
          <w:bCs/>
        </w:rPr>
        <w:t xml:space="preserve">Case Manager / Service Provider</w:t>
      </w:r>
    </w:p>
    <w:p>
      <w:pPr>
        <w:pStyle w:val="ListParagraph"/>
        <w:numPr>
          <w:ilvl w:val="0"/>
          <w:numId w:val="1"/>
        </w:numPr>
        <w:spacing w:after="40"/>
      </w:pPr>
      <w:r>
        <w:t xml:space="preserve">Develop the individualized service plan</w:t>
      </w:r>
    </w:p>
    <w:p>
      <w:pPr>
        <w:pStyle w:val="ListParagraph"/>
        <w:numPr>
          <w:ilvl w:val="0"/>
          <w:numId w:val="1"/>
        </w:numPr>
        <w:spacing w:after="40"/>
      </w:pPr>
      <w:r>
        <w:t xml:space="preserve">Conduct the initial assessment with the client</w:t>
      </w:r>
    </w:p>
    <w:p>
      <w:pPr>
        <w:pStyle w:val="ListParagraph"/>
        <w:numPr>
          <w:ilvl w:val="0"/>
          <w:numId w:val="1"/>
        </w:numPr>
        <w:spacing w:after="40"/>
      </w:pPr>
      <w:r>
        <w:t xml:space="preserve">Establish the service schedule and communication plan</w:t>
      </w:r>
    </w:p>
    <w:p>
      <w:pPr>
        <w:pStyle w:val="Heading2"/>
        <w:spacing w:after="100" w:before="240"/>
      </w:pPr>
      <w:r>
        <w:t xml:space="preserve">Procedure</w:t>
      </w:r>
    </w:p>
    <w:p>
      <w:pPr>
        <w:pStyle w:val="Heading3"/>
        <w:spacing w:after="40" w:before="160"/>
      </w:pPr>
      <w:r>
        <w:t xml:space="preserve">Step 1: Conduct initial screening</w:t>
      </w:r>
    </w:p>
    <w:p>
      <w:pPr>
        <w:spacing w:after="100"/>
      </w:pPr>
      <w:r>
        <w:t xml:space="preserve">When a potential client contacts the organization, conduct an initial screening to determine basic eligibility and appropriate program fit. This can happen by phone, in-person, or online. Collect: name, contact information, referral source, presenting need, and preliminary eligibility information. If the person doesn't meet eligibility criteria, provide referrals to other organizations.</w:t>
      </w:r>
    </w:p>
    <w:p>
      <w:pPr>
        <w:pStyle w:val="ListParagraph"/>
        <w:numPr>
          <w:ilvl w:val="1"/>
          <w:numId w:val="1"/>
        </w:numPr>
        <w:spacing w:after="40"/>
      </w:pPr>
      <w:r>
        <w:t xml:space="preserve">Collect basic contact information and referral source</w:t>
      </w:r>
    </w:p>
    <w:p>
      <w:pPr>
        <w:pStyle w:val="ListParagraph"/>
        <w:numPr>
          <w:ilvl w:val="1"/>
          <w:numId w:val="1"/>
        </w:numPr>
        <w:spacing w:after="40"/>
      </w:pPr>
      <w:r>
        <w:t xml:space="preserve">Identify the client's presenting need and goals</w:t>
      </w:r>
    </w:p>
    <w:p>
      <w:pPr>
        <w:pStyle w:val="ListParagraph"/>
        <w:numPr>
          <w:ilvl w:val="1"/>
          <w:numId w:val="1"/>
        </w:numPr>
        <w:spacing w:after="40"/>
      </w:pPr>
      <w:r>
        <w:t xml:space="preserve">Screen for preliminary eligibility based on program criteria</w:t>
      </w:r>
    </w:p>
    <w:p>
      <w:pPr>
        <w:pStyle w:val="ListParagraph"/>
        <w:numPr>
          <w:ilvl w:val="1"/>
          <w:numId w:val="1"/>
        </w:numPr>
        <w:spacing w:after="40"/>
      </w:pPr>
      <w:r>
        <w:t xml:space="preserve">If ineligible, provide referrals to appropriate alternative services</w:t>
      </w:r>
    </w:p>
    <w:p>
      <w:pPr>
        <w:pStyle w:val="ListParagraph"/>
        <w:numPr>
          <w:ilvl w:val="1"/>
          <w:numId w:val="1"/>
        </w:numPr>
        <w:spacing w:after="40"/>
      </w:pPr>
      <w:r>
        <w:t xml:space="preserve">If eligible, schedule the full intake appointment</w:t>
      </w:r>
    </w:p>
    <w:p>
      <w:pPr>
        <w:pStyle w:val="ListParagraph"/>
        <w:numPr>
          <w:ilvl w:val="1"/>
          <w:numId w:val="1"/>
        </w:numPr>
        <w:spacing w:after="40"/>
      </w:pPr>
      <w:r>
        <w:t xml:space="preserve">Send intake paperwork in advance for the client to review</w:t>
      </w:r>
    </w:p>
    <w:p>
      <w:pPr>
        <w:pStyle w:val="Heading3"/>
        <w:spacing w:after="40" w:before="160"/>
      </w:pPr>
      <w:r>
        <w:t xml:space="preserve">Step 2: Complete intake assessment and verify eligibility</w:t>
      </w:r>
    </w:p>
    <w:p>
      <w:pPr>
        <w:spacing w:after="100"/>
      </w:pPr>
      <w:r>
        <w:t xml:space="preserve">At the intake appointment, complete the full assessment. Verify eligibility by collecting required documentation — this varies by program but often includes: proof of income, residency verification, identification, and program-specific criteria. For federally-funded programs, eligibility documentation must be thorough enough to withstand audit scrutiny.</w:t>
      </w:r>
    </w:p>
    <w:p>
      <w:pPr>
        <w:pStyle w:val="ListParagraph"/>
        <w:numPr>
          <w:ilvl w:val="1"/>
          <w:numId w:val="1"/>
        </w:numPr>
        <w:spacing w:after="40"/>
      </w:pPr>
      <w:r>
        <w:t xml:space="preserve">Complete the intake assessment covering the client's full situation</w:t>
      </w:r>
    </w:p>
    <w:p>
      <w:pPr>
        <w:pStyle w:val="ListParagraph"/>
        <w:numPr>
          <w:ilvl w:val="1"/>
          <w:numId w:val="1"/>
        </w:numPr>
        <w:spacing w:after="40"/>
      </w:pPr>
      <w:r>
        <w:t xml:space="preserve">Collect eligibility documentation per program requirements</w:t>
      </w:r>
    </w:p>
    <w:p>
      <w:pPr>
        <w:pStyle w:val="ListParagraph"/>
        <w:numPr>
          <w:ilvl w:val="1"/>
          <w:numId w:val="1"/>
        </w:numPr>
        <w:spacing w:after="40"/>
      </w:pPr>
      <w:r>
        <w:t xml:space="preserve">Verify all documentation is current and valid</w:t>
      </w:r>
    </w:p>
    <w:p>
      <w:pPr>
        <w:pStyle w:val="ListParagraph"/>
        <w:numPr>
          <w:ilvl w:val="1"/>
          <w:numId w:val="1"/>
        </w:numPr>
        <w:spacing w:after="40"/>
      </w:pPr>
      <w:r>
        <w:t xml:space="preserve">For income-based programs, calculate and document income eligibility</w:t>
      </w:r>
    </w:p>
    <w:p>
      <w:pPr>
        <w:pStyle w:val="ListParagraph"/>
        <w:numPr>
          <w:ilvl w:val="1"/>
          <w:numId w:val="1"/>
        </w:numPr>
        <w:spacing w:after="40"/>
      </w:pPr>
      <w:r>
        <w:t xml:space="preserve">Complete any required standardized assessments</w:t>
      </w:r>
    </w:p>
    <w:p>
      <w:pPr>
        <w:pStyle w:val="ListParagraph"/>
        <w:numPr>
          <w:ilvl w:val="1"/>
          <w:numId w:val="1"/>
        </w:numPr>
        <w:spacing w:after="40"/>
      </w:pPr>
      <w:r>
        <w:t xml:space="preserve">Document the eligibility determination with supporting evidence</w:t>
      </w:r>
    </w:p>
    <w:p>
      <w:pPr>
        <w:spacing w:after="100"/>
      </w:pPr>
      <w:r>
        <w:rPr>
          <w:i/>
          <w:iCs/>
          <w:color w:val="B45309"/>
        </w:rPr>
        <w:t xml:space="preserve">Warning: Eligibility documentation is the most audited element of grant-funded programs. If you enroll a client without proper documentation and an auditor questions the enrollment, the costs associated with serving that client can be disallowed. Verify eligibility before enrollment, not after.</w:t>
      </w:r>
    </w:p>
    <w:p>
      <w:pPr>
        <w:pStyle w:val="Heading3"/>
        <w:spacing w:after="40" w:before="160"/>
      </w:pPr>
      <w:r>
        <w:t xml:space="preserve">Step 3: Obtain consents and explain rights</w:t>
      </w:r>
    </w:p>
    <w:p>
      <w:pPr>
        <w:spacing w:after="100"/>
      </w:pPr>
      <w:r>
        <w:t xml:space="preserve">Before enrollment, obtain all required consents: informed consent for services, consent for data collection and sharing, photo/media release (if applicable), and acknowledgment of client rights and responsibilities. Explain the program's privacy policy, grievance procedure, and how to provide feedback or file complaints.</w:t>
      </w:r>
    </w:p>
    <w:p>
      <w:pPr>
        <w:pStyle w:val="ListParagraph"/>
        <w:numPr>
          <w:ilvl w:val="1"/>
          <w:numId w:val="1"/>
        </w:numPr>
        <w:spacing w:after="40"/>
      </w:pPr>
      <w:r>
        <w:t xml:space="preserve">Explain the program's services, expectations, and limitations</w:t>
      </w:r>
    </w:p>
    <w:p>
      <w:pPr>
        <w:pStyle w:val="ListParagraph"/>
        <w:numPr>
          <w:ilvl w:val="1"/>
          <w:numId w:val="1"/>
        </w:numPr>
        <w:spacing w:after="40"/>
      </w:pPr>
      <w:r>
        <w:t xml:space="preserve">Obtain informed consent for services</w:t>
      </w:r>
    </w:p>
    <w:p>
      <w:pPr>
        <w:pStyle w:val="ListParagraph"/>
        <w:numPr>
          <w:ilvl w:val="1"/>
          <w:numId w:val="1"/>
        </w:numPr>
        <w:spacing w:after="40"/>
      </w:pPr>
      <w:r>
        <w:t xml:space="preserve">Obtain consent for data collection and information sharing</w:t>
      </w:r>
    </w:p>
    <w:p>
      <w:pPr>
        <w:pStyle w:val="ListParagraph"/>
        <w:numPr>
          <w:ilvl w:val="1"/>
          <w:numId w:val="1"/>
        </w:numPr>
        <w:spacing w:after="40"/>
      </w:pPr>
      <w:r>
        <w:t xml:space="preserve">Provide the client rights and responsibilities document</w:t>
      </w:r>
    </w:p>
    <w:p>
      <w:pPr>
        <w:pStyle w:val="ListParagraph"/>
        <w:numPr>
          <w:ilvl w:val="1"/>
          <w:numId w:val="1"/>
        </w:numPr>
        <w:spacing w:after="40"/>
      </w:pPr>
      <w:r>
        <w:t xml:space="preserve">Explain the privacy policy and confidentiality protections</w:t>
      </w:r>
    </w:p>
    <w:p>
      <w:pPr>
        <w:pStyle w:val="ListParagraph"/>
        <w:numPr>
          <w:ilvl w:val="1"/>
          <w:numId w:val="1"/>
        </w:numPr>
        <w:spacing w:after="40"/>
      </w:pPr>
      <w:r>
        <w:t xml:space="preserve">Explain the grievance and feedback procedures</w:t>
      </w:r>
    </w:p>
    <w:p>
      <w:pPr>
        <w:pStyle w:val="ListParagraph"/>
        <w:numPr>
          <w:ilvl w:val="1"/>
          <w:numId w:val="1"/>
        </w:numPr>
        <w:spacing w:after="40"/>
      </w:pPr>
      <w:r>
        <w:t xml:space="preserve">Obtain photo/media release if applicable</w:t>
      </w:r>
    </w:p>
    <w:p>
      <w:pPr>
        <w:pStyle w:val="Heading3"/>
        <w:spacing w:after="40" w:before="160"/>
      </w:pPr>
      <w:r>
        <w:t xml:space="preserve">Step 4: Develop the individualized service plan</w:t>
      </w:r>
    </w:p>
    <w:p>
      <w:pPr>
        <w:spacing w:after="100"/>
      </w:pPr>
      <w:r>
        <w:t xml:space="preserve">Work with the client to develop a service plan that addresses their goals. The plan should include: identified needs, specific goals with measurable outcomes, services to be provided, timeline, and responsibilities of both the client and the organization. The client must be an active participant in plan development — a plan imposed on the client is less effective and may not meet funder requirements for client-centered service.</w:t>
      </w:r>
    </w:p>
    <w:p>
      <w:pPr>
        <w:pStyle w:val="ListParagraph"/>
        <w:numPr>
          <w:ilvl w:val="1"/>
          <w:numId w:val="1"/>
        </w:numPr>
        <w:spacing w:after="40"/>
      </w:pPr>
      <w:r>
        <w:t xml:space="preserve">Identify the client's goals and priorities</w:t>
      </w:r>
    </w:p>
    <w:p>
      <w:pPr>
        <w:pStyle w:val="ListParagraph"/>
        <w:numPr>
          <w:ilvl w:val="1"/>
          <w:numId w:val="1"/>
        </w:numPr>
        <w:spacing w:after="40"/>
      </w:pPr>
      <w:r>
        <w:t xml:space="preserve">Assess strengths and barriers to achieving goals</w:t>
      </w:r>
    </w:p>
    <w:p>
      <w:pPr>
        <w:pStyle w:val="ListParagraph"/>
        <w:numPr>
          <w:ilvl w:val="1"/>
          <w:numId w:val="1"/>
        </w:numPr>
        <w:spacing w:after="40"/>
      </w:pPr>
      <w:r>
        <w:t xml:space="preserve">Define specific, measurable goals and milestones</w:t>
      </w:r>
    </w:p>
    <w:p>
      <w:pPr>
        <w:pStyle w:val="ListParagraph"/>
        <w:numPr>
          <w:ilvl w:val="1"/>
          <w:numId w:val="1"/>
        </w:numPr>
        <w:spacing w:after="40"/>
      </w:pPr>
      <w:r>
        <w:t xml:space="preserve">Identify services and supports to be provided</w:t>
      </w:r>
    </w:p>
    <w:p>
      <w:pPr>
        <w:pStyle w:val="ListParagraph"/>
        <w:numPr>
          <w:ilvl w:val="1"/>
          <w:numId w:val="1"/>
        </w:numPr>
        <w:spacing w:after="40"/>
      </w:pPr>
      <w:r>
        <w:t xml:space="preserve">Establish a realistic timeline for each goal</w:t>
      </w:r>
    </w:p>
    <w:p>
      <w:pPr>
        <w:pStyle w:val="ListParagraph"/>
        <w:numPr>
          <w:ilvl w:val="1"/>
          <w:numId w:val="1"/>
        </w:numPr>
        <w:spacing w:after="40"/>
      </w:pPr>
      <w:r>
        <w:t xml:space="preserve">Document responsibilities of the client and the organization</w:t>
      </w:r>
    </w:p>
    <w:p>
      <w:pPr>
        <w:pStyle w:val="ListParagraph"/>
        <w:numPr>
          <w:ilvl w:val="1"/>
          <w:numId w:val="1"/>
        </w:numPr>
        <w:spacing w:after="40"/>
      </w:pPr>
      <w:r>
        <w:t xml:space="preserve">Have the client review and sign the service plan</w:t>
      </w:r>
    </w:p>
    <w:p>
      <w:pPr>
        <w:pStyle w:val="Heading3"/>
        <w:spacing w:after="40" w:before="160"/>
      </w:pPr>
      <w:r>
        <w:t xml:space="preserve">Step 5: Enter client data and complete enrollment</w:t>
      </w:r>
    </w:p>
    <w:p>
      <w:pPr>
        <w:spacing w:after="100"/>
      </w:pPr>
      <w:r>
        <w:t xml:space="preserve">Enter all client information, eligibility documentation, consents, and the service plan into the case management system. Assign the client to the appropriate staff member and schedule the first service appointment. Ensure all data entry follows the organization's data quality standards — incomplete records cause problems in reporting.</w:t>
      </w:r>
    </w:p>
    <w:p>
      <w:pPr>
        <w:pStyle w:val="ListParagraph"/>
        <w:numPr>
          <w:ilvl w:val="1"/>
          <w:numId w:val="1"/>
        </w:numPr>
        <w:spacing w:after="40"/>
      </w:pPr>
      <w:r>
        <w:t xml:space="preserve">Enter client demographics and contact information</w:t>
      </w:r>
    </w:p>
    <w:p>
      <w:pPr>
        <w:pStyle w:val="ListParagraph"/>
        <w:numPr>
          <w:ilvl w:val="1"/>
          <w:numId w:val="1"/>
        </w:numPr>
        <w:spacing w:after="40"/>
      </w:pPr>
      <w:r>
        <w:t xml:space="preserve">Upload eligibility documentation and consents</w:t>
      </w:r>
    </w:p>
    <w:p>
      <w:pPr>
        <w:pStyle w:val="ListParagraph"/>
        <w:numPr>
          <w:ilvl w:val="1"/>
          <w:numId w:val="1"/>
        </w:numPr>
        <w:spacing w:after="40"/>
      </w:pPr>
      <w:r>
        <w:t xml:space="preserve">Enter the service plan with goals and timelines</w:t>
      </w:r>
    </w:p>
    <w:p>
      <w:pPr>
        <w:pStyle w:val="ListParagraph"/>
        <w:numPr>
          <w:ilvl w:val="1"/>
          <w:numId w:val="1"/>
        </w:numPr>
        <w:spacing w:after="40"/>
      </w:pPr>
      <w:r>
        <w:t xml:space="preserve">Assign the client to a case manager or service provider</w:t>
      </w:r>
    </w:p>
    <w:p>
      <w:pPr>
        <w:pStyle w:val="ListParagraph"/>
        <w:numPr>
          <w:ilvl w:val="1"/>
          <w:numId w:val="1"/>
        </w:numPr>
        <w:spacing w:after="40"/>
      </w:pPr>
      <w:r>
        <w:t xml:space="preserve">Schedule the first service appointment</w:t>
      </w:r>
    </w:p>
    <w:p>
      <w:pPr>
        <w:pStyle w:val="ListParagraph"/>
        <w:numPr>
          <w:ilvl w:val="1"/>
          <w:numId w:val="1"/>
        </w:numPr>
        <w:spacing w:after="40"/>
      </w:pPr>
      <w:r>
        <w:t xml:space="preserve">Add the client to program enrollment tracking</w:t>
      </w:r>
    </w:p>
    <w:p>
      <w:pPr>
        <w:pStyle w:val="ListParagraph"/>
        <w:numPr>
          <w:ilvl w:val="1"/>
          <w:numId w:val="1"/>
        </w:numPr>
        <w:spacing w:after="40"/>
      </w:pPr>
      <w:r>
        <w:t xml:space="preserve">Verify data completeness and accuracy</w:t>
      </w:r>
    </w:p>
    <w:p>
      <w:pPr>
        <w:pStyle w:val="Heading3"/>
        <w:spacing w:after="40" w:before="160"/>
      </w:pPr>
      <w:r>
        <w:t xml:space="preserve">Step 6: Conduct follow-up within the first week</w:t>
      </w:r>
    </w:p>
    <w:p>
      <w:pPr>
        <w:spacing w:after="100"/>
      </w:pPr>
      <w:r>
        <w:t xml:space="preserve">Within 5 business days of enrollment, the assigned staff member conducts a follow-up contact to confirm the client's engagement, answer questions, and address any barriers to participation. Early follow-up reduces no-show rates and demonstrates the organization's commitment to the client.</w:t>
      </w:r>
    </w:p>
    <w:p>
      <w:pPr>
        <w:pStyle w:val="ListParagraph"/>
        <w:numPr>
          <w:ilvl w:val="1"/>
          <w:numId w:val="1"/>
        </w:numPr>
        <w:spacing w:after="40"/>
      </w:pPr>
      <w:r>
        <w:t xml:space="preserve">Contact the client within 5 business days of enrollment</w:t>
      </w:r>
    </w:p>
    <w:p>
      <w:pPr>
        <w:pStyle w:val="ListParagraph"/>
        <w:numPr>
          <w:ilvl w:val="1"/>
          <w:numId w:val="1"/>
        </w:numPr>
        <w:spacing w:after="40"/>
      </w:pPr>
      <w:r>
        <w:t xml:space="preserve">Confirm understanding of the service plan and schedule</w:t>
      </w:r>
    </w:p>
    <w:p>
      <w:pPr>
        <w:pStyle w:val="ListParagraph"/>
        <w:numPr>
          <w:ilvl w:val="1"/>
          <w:numId w:val="1"/>
        </w:numPr>
        <w:spacing w:after="40"/>
      </w:pPr>
      <w:r>
        <w:t xml:space="preserve">Address any questions or concerns</w:t>
      </w:r>
    </w:p>
    <w:p>
      <w:pPr>
        <w:pStyle w:val="ListParagraph"/>
        <w:numPr>
          <w:ilvl w:val="1"/>
          <w:numId w:val="1"/>
        </w:numPr>
        <w:spacing w:after="40"/>
      </w:pPr>
      <w:r>
        <w:t xml:space="preserve">Identify and problem-solve any barriers to participation</w:t>
      </w:r>
    </w:p>
    <w:p>
      <w:pPr>
        <w:pStyle w:val="ListParagraph"/>
        <w:numPr>
          <w:ilvl w:val="1"/>
          <w:numId w:val="1"/>
        </w:numPr>
        <w:spacing w:after="40"/>
      </w:pPr>
      <w:r>
        <w:t xml:space="preserve">Document the follow-up contact in the case management system</w:t>
      </w:r>
    </w:p>
    <w:p>
      <w:pPr>
        <w:pStyle w:val="Heading2"/>
        <w:spacing w:after="100" w:before="240"/>
      </w:pPr>
      <w:r>
        <w:t xml:space="preserve">Completion Checklist</w:t>
      </w:r>
    </w:p>
    <w:p>
      <w:pPr>
        <w:spacing w:after="40"/>
      </w:pPr>
      <w:r>
        <w:t xml:space="preserve">☐  Initial screening completed and eligibility confirmed</w:t>
      </w:r>
    </w:p>
    <w:p>
      <w:pPr>
        <w:spacing w:after="40"/>
      </w:pPr>
      <w:r>
        <w:t xml:space="preserve">☐  Intake appointment scheduled and completed</w:t>
      </w:r>
    </w:p>
    <w:p>
      <w:pPr>
        <w:spacing w:after="40"/>
      </w:pPr>
      <w:r>
        <w:t xml:space="preserve">☐  All eligibility documentation collected and verified</w:t>
      </w:r>
    </w:p>
    <w:p>
      <w:pPr>
        <w:spacing w:after="40"/>
      </w:pPr>
      <w:r>
        <w:t xml:space="preserve">☐  Income eligibility calculated and documented (if applicable)</w:t>
      </w:r>
    </w:p>
    <w:p>
      <w:pPr>
        <w:spacing w:after="40"/>
      </w:pPr>
      <w:r>
        <w:t xml:space="preserve">☐  Informed consent for services obtained</w:t>
      </w:r>
    </w:p>
    <w:p>
      <w:pPr>
        <w:spacing w:after="40"/>
      </w:pPr>
      <w:r>
        <w:t xml:space="preserve">☐  Data sharing consent obtained</w:t>
      </w:r>
    </w:p>
    <w:p>
      <w:pPr>
        <w:spacing w:after="40"/>
      </w:pPr>
      <w:r>
        <w:t xml:space="preserve">☐  Client rights and responsibilities explained and acknowledged</w:t>
      </w:r>
    </w:p>
    <w:p>
      <w:pPr>
        <w:spacing w:after="40"/>
      </w:pPr>
      <w:r>
        <w:t xml:space="preserve">☐  Individualized service plan developed with client input</w:t>
      </w:r>
    </w:p>
    <w:p>
      <w:pPr>
        <w:spacing w:after="40"/>
      </w:pPr>
      <w:r>
        <w:t xml:space="preserve">☐  Service plan signed by client</w:t>
      </w:r>
    </w:p>
    <w:p>
      <w:pPr>
        <w:spacing w:after="40"/>
      </w:pPr>
      <w:r>
        <w:t xml:space="preserve">☐  All data entered in case management system accurately</w:t>
      </w:r>
    </w:p>
    <w:p>
      <w:pPr>
        <w:spacing w:after="40"/>
      </w:pPr>
      <w:r>
        <w:t xml:space="preserve">☐  Client assigned to appropriate staff member</w:t>
      </w:r>
    </w:p>
    <w:p>
      <w:pPr>
        <w:spacing w:after="40"/>
      </w:pPr>
      <w:r>
        <w:t xml:space="preserve">☐  First service appointment scheduled</w:t>
      </w:r>
    </w:p>
    <w:p>
      <w:pPr>
        <w:spacing w:after="40"/>
      </w:pPr>
      <w:r>
        <w:t xml:space="preserve">☐  Follow-up contact made within 5 business days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Intake completion rate</w:t>
            </w:r>
          </w:p>
        </w:tc>
        <w:tc>
          <w:tcPr>
            <w:tcMar>
              <w:top w:type="dxa" w:w="60"/>
              <w:left w:type="dxa" w:w="120"/>
              <w:bottom w:type="dxa" w:w="60"/>
              <w:right w:type="dxa" w:w="120"/>
            </w:tcMar>
          </w:tcPr>
          <w:p>
            <w:r>
              <w:rPr>
                <w:b w:val="false"/>
                <w:bCs w:val="false"/>
              </w:rPr>
              <w:t xml:space="preserve">85% of screened clients complete full intake</w:t>
            </w:r>
          </w:p>
        </w:tc>
      </w:tr>
      <w:tr>
        <w:trPr>
          <w:tblHeader w:val="false"/>
        </w:trPr>
        <w:tc>
          <w:tcPr>
            <w:tcMar>
              <w:top w:type="dxa" w:w="60"/>
              <w:left w:type="dxa" w:w="120"/>
              <w:bottom w:type="dxa" w:w="60"/>
              <w:right w:type="dxa" w:w="120"/>
            </w:tcMar>
          </w:tcPr>
          <w:p>
            <w:r>
              <w:rPr>
                <w:b w:val="false"/>
                <w:bCs w:val="false"/>
              </w:rPr>
              <w:t xml:space="preserve">Eligibility documentation rate</w:t>
            </w:r>
          </w:p>
        </w:tc>
        <w:tc>
          <w:tcPr>
            <w:tcMar>
              <w:top w:type="dxa" w:w="60"/>
              <w:left w:type="dxa" w:w="120"/>
              <w:bottom w:type="dxa" w:w="60"/>
              <w:right w:type="dxa" w:w="120"/>
            </w:tcMar>
          </w:tcPr>
          <w:p>
            <w:r>
              <w:rPr>
                <w:b w:val="false"/>
                <w:bCs w:val="false"/>
              </w:rPr>
              <w:t xml:space="preserve">100% of enrolled clients have complete eligibility files</w:t>
            </w:r>
          </w:p>
        </w:tc>
      </w:tr>
      <w:tr>
        <w:trPr>
          <w:tblHeader w:val="false"/>
        </w:trPr>
        <w:tc>
          <w:tcPr>
            <w:tcMar>
              <w:top w:type="dxa" w:w="60"/>
              <w:left w:type="dxa" w:w="120"/>
              <w:bottom w:type="dxa" w:w="60"/>
              <w:right w:type="dxa" w:w="120"/>
            </w:tcMar>
          </w:tcPr>
          <w:p>
            <w:r>
              <w:rPr>
                <w:b w:val="false"/>
                <w:bCs w:val="false"/>
              </w:rPr>
              <w:t xml:space="preserve">Time to first service</w:t>
            </w:r>
          </w:p>
        </w:tc>
        <w:tc>
          <w:tcPr>
            <w:tcMar>
              <w:top w:type="dxa" w:w="60"/>
              <w:left w:type="dxa" w:w="120"/>
              <w:bottom w:type="dxa" w:w="60"/>
              <w:right w:type="dxa" w:w="120"/>
            </w:tcMar>
          </w:tcPr>
          <w:p>
            <w:r>
              <w:rPr>
                <w:b w:val="false"/>
                <w:bCs w:val="false"/>
              </w:rPr>
              <w:t xml:space="preserve">Within 10 business days of intake</w:t>
            </w:r>
          </w:p>
        </w:tc>
      </w:tr>
      <w:tr>
        <w:trPr>
          <w:tblHeader w:val="false"/>
        </w:trPr>
        <w:tc>
          <w:tcPr>
            <w:tcMar>
              <w:top w:type="dxa" w:w="60"/>
              <w:left w:type="dxa" w:w="120"/>
              <w:bottom w:type="dxa" w:w="60"/>
              <w:right w:type="dxa" w:w="120"/>
            </w:tcMar>
          </w:tcPr>
          <w:p>
            <w:r>
              <w:rPr>
                <w:b w:val="false"/>
                <w:bCs w:val="false"/>
              </w:rPr>
              <w:t xml:space="preserve">First-week follow-up rate</w:t>
            </w:r>
          </w:p>
        </w:tc>
        <w:tc>
          <w:tcPr>
            <w:tcMar>
              <w:top w:type="dxa" w:w="60"/>
              <w:left w:type="dxa" w:w="120"/>
              <w:bottom w:type="dxa" w:w="60"/>
              <w:right w:type="dxa" w:w="120"/>
            </w:tcMar>
          </w:tcPr>
          <w:p>
            <w:r>
              <w:rPr>
                <w:b w:val="false"/>
                <w:bCs w:val="false"/>
              </w:rPr>
              <w:t xml:space="preserve">100% of new clients contacted within 5 business days</w:t>
            </w:r>
          </w:p>
        </w:tc>
      </w:tr>
    </w:tbl>
    <w:p>
      <w:pPr>
        <w:pStyle w:val="Heading2"/>
        <w:spacing w:after="100" w:before="240"/>
      </w:pPr>
      <w:r>
        <w:t xml:space="preserve">Revision Schedule</w:t>
      </w:r>
    </w:p>
    <w:p>
      <w:pPr>
        <w:spacing w:after="100"/>
      </w:pPr>
      <w:r>
        <w:t xml:space="preserve">Annually, or when program eligibility criteria change or after any audit finding related to client enrollment.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Client Onboarding Standard Operating Procedure Template</dc:title>
  <dc:creator>Glyde</dc:creator>
  <dc:description>Free client onboarding SOP for nonprofits. Covers intake assessment, eligibility verification, and service enrollment.</dc:description>
  <cp:lastModifiedBy>Un-named</cp:lastModifiedBy>
  <cp:revision>1</cp:revision>
  <dcterms:created xsi:type="dcterms:W3CDTF">2026-07-22T08:34:35.214Z</dcterms:created>
  <dcterms:modified xsi:type="dcterms:W3CDTF">2026-07-22T08:34:35.214Z</dcterms:modified>
</cp:coreProperties>
</file>

<file path=docProps/custom.xml><?xml version="1.0" encoding="utf-8"?>
<Properties xmlns="http://schemas.openxmlformats.org/officeDocument/2006/custom-properties" xmlns:vt="http://schemas.openxmlformats.org/officeDocument/2006/docPropsVTypes"/>
</file>