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Compliance Audit for Financial Services</w:t>
      </w:r>
    </w:p>
    <w:p>
      <w:pPr>
        <w:spacing w:after="200"/>
      </w:pPr>
      <w:r>
        <w:rPr>
          <w:i/>
          <w:iCs/>
          <w:color w:val="6B7280"/>
        </w:rPr>
        <w:t xml:space="preserve">Free compliance audit SOP template for financial services. Covers SOX, FINRA, AML/BSA prep, evidence gathering, gap analysis, and remediation tracking.</w:t>
      </w:r>
    </w:p>
    <w:p>
      <w:pPr>
        <w:pStyle w:val="Heading2"/>
        <w:spacing w:after="100" w:before="240"/>
      </w:pPr>
      <w:r>
        <w:t xml:space="preserve">Purpose</w:t>
      </w:r>
    </w:p>
    <w:p>
      <w:pPr>
        <w:spacing w:after="100"/>
      </w:pPr>
      <w:r>
        <w:t xml:space="preserve">Establish a repeatable process for preparing, executing, and remediating compliance audits across your financial services organization. This SOP ensures your team can produce audit-ready evidence for SOX, FINRA, SEC, and BSA/AML examinations on time — and that gaps identified during audits are tracked and closed before the next review cycle.</w:t>
      </w:r>
    </w:p>
    <w:p>
      <w:pPr>
        <w:pStyle w:val="Heading2"/>
        <w:spacing w:after="100" w:before="240"/>
      </w:pPr>
      <w:r>
        <w:t xml:space="preserve">Scope</w:t>
      </w:r>
    </w:p>
    <w:p>
      <w:pPr>
        <w:spacing w:after="100"/>
      </w:pPr>
      <w:r>
        <w:t xml:space="preserve">Covers internal audit preparation and regulatory examination readiness for banks, credit unions, investment firms, and fintech companies. Includes document gathering, gap analysis, mock audits, examiner coordination, and remediation tracking. Does not cover external audit firm selection or contract negotiation.</w:t>
      </w:r>
    </w:p>
    <w:p>
      <w:pPr>
        <w:pStyle w:val="Heading2"/>
        <w:spacing w:after="100" w:before="240"/>
      </w:pPr>
      <w:r>
        <w:t xml:space="preserve">Prerequisites</w:t>
      </w:r>
    </w:p>
    <w:p>
      <w:pPr>
        <w:pStyle w:val="ListParagraph"/>
        <w:numPr>
          <w:ilvl w:val="0"/>
          <w:numId w:val="1"/>
        </w:numPr>
        <w:spacing w:after="40"/>
      </w:pPr>
      <w:r>
        <w:t xml:space="preserve">Regulatory calendar maintained with all upcoming examination dates and filing deadlines</w:t>
      </w:r>
    </w:p>
    <w:p>
      <w:pPr>
        <w:pStyle w:val="ListParagraph"/>
        <w:numPr>
          <w:ilvl w:val="0"/>
          <w:numId w:val="1"/>
        </w:numPr>
        <w:spacing w:after="40"/>
      </w:pPr>
      <w:r>
        <w:t xml:space="preserve">Compliance management system configured (Workiva, MetricStream, or equivalent)</w:t>
      </w:r>
    </w:p>
    <w:p>
      <w:pPr>
        <w:pStyle w:val="ListParagraph"/>
        <w:numPr>
          <w:ilvl w:val="0"/>
          <w:numId w:val="1"/>
        </w:numPr>
        <w:spacing w:after="40"/>
      </w:pPr>
      <w:r>
        <w:t xml:space="preserve">Access to all policy and procedure documents in the current document management system</w:t>
      </w:r>
    </w:p>
    <w:p>
      <w:pPr>
        <w:pStyle w:val="ListParagraph"/>
        <w:numPr>
          <w:ilvl w:val="0"/>
          <w:numId w:val="1"/>
        </w:numPr>
        <w:spacing w:after="40"/>
      </w:pPr>
      <w:r>
        <w:t xml:space="preserve">Prior audit findings and remediation status documented and accessible</w:t>
      </w:r>
    </w:p>
    <w:p>
      <w:pPr>
        <w:pStyle w:val="ListParagraph"/>
        <w:numPr>
          <w:ilvl w:val="0"/>
          <w:numId w:val="1"/>
        </w:numPr>
        <w:spacing w:after="40"/>
      </w:pPr>
      <w:r>
        <w:t xml:space="preserve">Designated compliance liaisons identified in each business unit</w:t>
      </w:r>
    </w:p>
    <w:p>
      <w:pPr>
        <w:pStyle w:val="Heading2"/>
        <w:spacing w:after="100" w:before="240"/>
      </w:pPr>
      <w:r>
        <w:t xml:space="preserve">Roles &amp; Responsibilities</w:t>
      </w:r>
    </w:p>
    <w:p>
      <w:pPr>
        <w:spacing w:after="40" w:before="120"/>
      </w:pPr>
      <w:r>
        <w:rPr>
          <w:b/>
          <w:bCs/>
        </w:rPr>
        <w:t xml:space="preserve">Chief Compliance Officer</w:t>
      </w:r>
    </w:p>
    <w:p>
      <w:pPr>
        <w:pStyle w:val="ListParagraph"/>
        <w:numPr>
          <w:ilvl w:val="0"/>
          <w:numId w:val="1"/>
        </w:numPr>
        <w:spacing w:after="40"/>
      </w:pPr>
      <w:r>
        <w:t xml:space="preserve">Own the audit preparation timeline and ensure readiness milestones are met</w:t>
      </w:r>
    </w:p>
    <w:p>
      <w:pPr>
        <w:pStyle w:val="ListParagraph"/>
        <w:numPr>
          <w:ilvl w:val="0"/>
          <w:numId w:val="1"/>
        </w:numPr>
        <w:spacing w:after="40"/>
      </w:pPr>
      <w:r>
        <w:t xml:space="preserve">Present findings and remediation plans to the board audit committee</w:t>
      </w:r>
    </w:p>
    <w:p>
      <w:pPr>
        <w:pStyle w:val="ListParagraph"/>
        <w:numPr>
          <w:ilvl w:val="0"/>
          <w:numId w:val="1"/>
        </w:numPr>
        <w:spacing w:after="40"/>
      </w:pPr>
      <w:r>
        <w:t xml:space="preserve">Approve all responses to regulatory examination requests</w:t>
      </w:r>
    </w:p>
    <w:p>
      <w:pPr>
        <w:spacing w:after="40" w:before="120"/>
      </w:pPr>
      <w:r>
        <w:rPr>
          <w:b/>
          <w:bCs/>
        </w:rPr>
        <w:t xml:space="preserve">Compliance Analyst</w:t>
      </w:r>
    </w:p>
    <w:p>
      <w:pPr>
        <w:pStyle w:val="ListParagraph"/>
        <w:numPr>
          <w:ilvl w:val="0"/>
          <w:numId w:val="1"/>
        </w:numPr>
        <w:spacing w:after="40"/>
      </w:pPr>
      <w:r>
        <w:t xml:space="preserve">Gather and organize evidence for each audit control point</w:t>
      </w:r>
    </w:p>
    <w:p>
      <w:pPr>
        <w:pStyle w:val="ListParagraph"/>
        <w:numPr>
          <w:ilvl w:val="0"/>
          <w:numId w:val="1"/>
        </w:numPr>
        <w:spacing w:after="40"/>
      </w:pPr>
      <w:r>
        <w:t xml:space="preserve">Conduct gap analysis against current regulations and prior findings</w:t>
      </w:r>
    </w:p>
    <w:p>
      <w:pPr>
        <w:pStyle w:val="ListParagraph"/>
        <w:numPr>
          <w:ilvl w:val="0"/>
          <w:numId w:val="1"/>
        </w:numPr>
        <w:spacing w:after="40"/>
      </w:pPr>
      <w:r>
        <w:t xml:space="preserve">Track remediation items and follow up with business unit owners</w:t>
      </w:r>
    </w:p>
    <w:p>
      <w:pPr>
        <w:spacing w:after="40" w:before="120"/>
      </w:pPr>
      <w:r>
        <w:rPr>
          <w:b/>
          <w:bCs/>
        </w:rPr>
        <w:t xml:space="preserve">Internal Audit Manager</w:t>
      </w:r>
    </w:p>
    <w:p>
      <w:pPr>
        <w:pStyle w:val="ListParagraph"/>
        <w:numPr>
          <w:ilvl w:val="0"/>
          <w:numId w:val="1"/>
        </w:numPr>
        <w:spacing w:after="40"/>
      </w:pPr>
      <w:r>
        <w:t xml:space="preserve">Plan and execute mock audits before regulatory examinations</w:t>
      </w:r>
    </w:p>
    <w:p>
      <w:pPr>
        <w:pStyle w:val="ListParagraph"/>
        <w:numPr>
          <w:ilvl w:val="0"/>
          <w:numId w:val="1"/>
        </w:numPr>
        <w:spacing w:after="40"/>
      </w:pPr>
      <w:r>
        <w:t xml:space="preserve">Coordinate with external auditors on timing and document requests</w:t>
      </w:r>
    </w:p>
    <w:p>
      <w:pPr>
        <w:pStyle w:val="ListParagraph"/>
        <w:numPr>
          <w:ilvl w:val="0"/>
          <w:numId w:val="1"/>
        </w:numPr>
        <w:spacing w:after="40"/>
      </w:pPr>
      <w:r>
        <w:t xml:space="preserve">Validate that remediation actions address the root cause of findings</w:t>
      </w:r>
    </w:p>
    <w:p>
      <w:pPr>
        <w:spacing w:after="40" w:before="120"/>
      </w:pPr>
      <w:r>
        <w:rPr>
          <w:b/>
          <w:bCs/>
        </w:rPr>
        <w:t xml:space="preserve">Business Unit Compliance Liaison</w:t>
      </w:r>
    </w:p>
    <w:p>
      <w:pPr>
        <w:pStyle w:val="ListParagraph"/>
        <w:numPr>
          <w:ilvl w:val="0"/>
          <w:numId w:val="1"/>
        </w:numPr>
        <w:spacing w:after="40"/>
      </w:pPr>
      <w:r>
        <w:t xml:space="preserve">Provide department-specific evidence and documentation to the compliance team</w:t>
      </w:r>
    </w:p>
    <w:p>
      <w:pPr>
        <w:pStyle w:val="ListParagraph"/>
        <w:numPr>
          <w:ilvl w:val="0"/>
          <w:numId w:val="1"/>
        </w:numPr>
        <w:spacing w:after="40"/>
      </w:pPr>
      <w:r>
        <w:t xml:space="preserve">Implement remediation actions assigned to their business unit</w:t>
      </w:r>
    </w:p>
    <w:p>
      <w:pPr>
        <w:pStyle w:val="Heading2"/>
        <w:spacing w:after="100" w:before="240"/>
      </w:pPr>
      <w:r>
        <w:t xml:space="preserve">Procedure</w:t>
      </w:r>
    </w:p>
    <w:p>
      <w:pPr>
        <w:pStyle w:val="Heading3"/>
        <w:spacing w:after="40" w:before="160"/>
      </w:pPr>
      <w:r>
        <w:t xml:space="preserve">Step 1: Review the regulatory examination calendar</w:t>
      </w:r>
    </w:p>
    <w:p>
      <w:pPr>
        <w:spacing w:after="100"/>
      </w:pPr>
      <w:r>
        <w:t xml:space="preserve">Pull the current year's regulatory calendar and identify all upcoming audits, examinations, and filing deadlines. Map each examination to the specific regulations it covers — SOX Section 404 for internal controls, FINRA Rule 3110 for supervisory procedures, BSA/AML for transaction monitoring, and so on. Assign a compliance analyst as the lead for each examination.</w:t>
      </w:r>
    </w:p>
    <w:p>
      <w:pPr>
        <w:pStyle w:val="ListParagraph"/>
        <w:numPr>
          <w:ilvl w:val="1"/>
          <w:numId w:val="1"/>
        </w:numPr>
        <w:spacing w:after="40"/>
      </w:pPr>
      <w:r>
        <w:t xml:space="preserve">Export the regulatory calendar from your compliance management system (Workiva or equivalent)</w:t>
      </w:r>
    </w:p>
    <w:p>
      <w:pPr>
        <w:pStyle w:val="ListParagraph"/>
        <w:numPr>
          <w:ilvl w:val="1"/>
          <w:numId w:val="1"/>
        </w:numPr>
        <w:spacing w:after="40"/>
      </w:pPr>
      <w:r>
        <w:t xml:space="preserve">Confirm examination dates with your primary regulator contacts (FDIC, OCC, or state banking department)</w:t>
      </w:r>
    </w:p>
    <w:p>
      <w:pPr>
        <w:pStyle w:val="ListParagraph"/>
        <w:numPr>
          <w:ilvl w:val="1"/>
          <w:numId w:val="1"/>
        </w:numPr>
        <w:spacing w:after="40"/>
      </w:pPr>
      <w:r>
        <w:t xml:space="preserve">Map each examination to the specific regulatory sections and control objectives being tested</w:t>
      </w:r>
    </w:p>
    <w:p>
      <w:pPr>
        <w:pStyle w:val="ListParagraph"/>
        <w:numPr>
          <w:ilvl w:val="1"/>
          <w:numId w:val="1"/>
        </w:numPr>
        <w:spacing w:after="40"/>
      </w:pPr>
      <w:r>
        <w:t xml:space="preserve">Assign a lead analyst and backup for each upcoming examination</w:t>
      </w:r>
    </w:p>
    <w:p>
      <w:pPr>
        <w:spacing w:after="100"/>
      </w:pPr>
      <w:r>
        <w:rPr>
          <w:i/>
          <w:iCs/>
          <w:color w:val="1F7A4D"/>
        </w:rPr>
        <w:t xml:space="preserve">Tip: Build a 90-day countdown for each examination. Start evidence gathering at day 90, gap analysis at day 60, and mock audit at day 30.</w:t>
      </w:r>
    </w:p>
    <w:p>
      <w:pPr>
        <w:pStyle w:val="Heading3"/>
        <w:spacing w:after="40" w:before="160"/>
      </w:pPr>
      <w:r>
        <w:t xml:space="preserve">Step 2: Inventory required evidence and controls</w:t>
      </w:r>
    </w:p>
    <w:p>
      <w:pPr>
        <w:spacing w:after="100"/>
      </w:pPr>
      <w:r>
        <w:t xml:space="preserve">For each upcoming audit, create a complete list of every control point the examiner will test and the evidence needed to demonstrate compliance. Cross-reference prior examination reports, FFIEC handbooks, and your institution's control matrix. Document where each piece of evidence lives, who owns it, and its last update date.</w:t>
      </w:r>
    </w:p>
    <w:p>
      <w:pPr>
        <w:pStyle w:val="ListParagraph"/>
        <w:numPr>
          <w:ilvl w:val="1"/>
          <w:numId w:val="1"/>
        </w:numPr>
        <w:spacing w:after="40"/>
      </w:pPr>
      <w:r>
        <w:t xml:space="preserve">Pull the control matrix from your compliance management system</w:t>
      </w:r>
    </w:p>
    <w:p>
      <w:pPr>
        <w:pStyle w:val="ListParagraph"/>
        <w:numPr>
          <w:ilvl w:val="1"/>
          <w:numId w:val="1"/>
        </w:numPr>
        <w:spacing w:after="40"/>
      </w:pPr>
      <w:r>
        <w:t xml:space="preserve">Cross-reference with prior examination findings and MRAs (Matters Requiring Attention)</w:t>
      </w:r>
    </w:p>
    <w:p>
      <w:pPr>
        <w:pStyle w:val="ListParagraph"/>
        <w:numPr>
          <w:ilvl w:val="1"/>
          <w:numId w:val="1"/>
        </w:numPr>
        <w:spacing w:after="40"/>
      </w:pPr>
      <w:r>
        <w:t xml:space="preserve">Identify any new regulatory requirements added since the last examination cycle</w:t>
      </w:r>
    </w:p>
    <w:p>
      <w:pPr>
        <w:pStyle w:val="ListParagraph"/>
        <w:numPr>
          <w:ilvl w:val="1"/>
          <w:numId w:val="1"/>
        </w:numPr>
        <w:spacing w:after="40"/>
      </w:pPr>
      <w:r>
        <w:t xml:space="preserve">Confirm each piece of evidence exists, is current, and is accessible</w:t>
      </w:r>
    </w:p>
    <w:p>
      <w:pPr>
        <w:spacing w:after="100"/>
      </w:pPr>
      <w:r>
        <w:rPr>
          <w:i/>
          <w:iCs/>
          <w:color w:val="B45309"/>
        </w:rPr>
        <w:t xml:space="preserve">Warning: Do not assume last year's evidence list is complete. Regulators frequently expand their scope based on industry trends — AML transaction monitoring thresholds and cybersecurity controls are common areas of new focus.</w:t>
      </w:r>
    </w:p>
    <w:p>
      <w:pPr>
        <w:pStyle w:val="Heading3"/>
        <w:spacing w:after="40" w:before="160"/>
      </w:pPr>
      <w:r>
        <w:t xml:space="preserve">Step 3: Gather and organize evidence packages</w:t>
      </w:r>
    </w:p>
    <w:p>
      <w:pPr>
        <w:spacing w:after="100"/>
      </w:pPr>
      <w:r>
        <w:t xml:space="preserve">Collect all required evidence from business units and organize it into examination-ready packages. Each package should correspond to a specific control objective and contain the policy, the procedure, evidence of execution, and any exception reports. Store everything in your compliance management system with consistent naming conventions.</w:t>
      </w:r>
    </w:p>
    <w:p>
      <w:pPr>
        <w:pStyle w:val="ListParagraph"/>
        <w:numPr>
          <w:ilvl w:val="1"/>
          <w:numId w:val="1"/>
        </w:numPr>
        <w:spacing w:after="40"/>
      </w:pPr>
      <w:r>
        <w:t xml:space="preserve">Send evidence requests to business unit compliance liaisons with specific deadlines</w:t>
      </w:r>
    </w:p>
    <w:p>
      <w:pPr>
        <w:pStyle w:val="ListParagraph"/>
        <w:numPr>
          <w:ilvl w:val="1"/>
          <w:numId w:val="1"/>
        </w:numPr>
        <w:spacing w:after="40"/>
      </w:pPr>
      <w:r>
        <w:t xml:space="preserve">Collect transaction monitoring reports, suspicious activity report (SAR) filings, and CTR logs for BSA/AML reviews</w:t>
      </w:r>
    </w:p>
    <w:p>
      <w:pPr>
        <w:pStyle w:val="ListParagraph"/>
        <w:numPr>
          <w:ilvl w:val="1"/>
          <w:numId w:val="1"/>
        </w:numPr>
        <w:spacing w:after="40"/>
      </w:pPr>
      <w:r>
        <w:t xml:space="preserve">Gather signed attestations and training completion records for SOX controls</w:t>
      </w:r>
    </w:p>
    <w:p>
      <w:pPr>
        <w:pStyle w:val="ListParagraph"/>
        <w:numPr>
          <w:ilvl w:val="1"/>
          <w:numId w:val="1"/>
        </w:numPr>
        <w:spacing w:after="40"/>
      </w:pPr>
      <w:r>
        <w:t xml:space="preserve">Organize evidence by control objective using the examiner's expected testing structure</w:t>
      </w:r>
    </w:p>
    <w:p>
      <w:pPr>
        <w:pStyle w:val="ListParagraph"/>
        <w:numPr>
          <w:ilvl w:val="1"/>
          <w:numId w:val="1"/>
        </w:numPr>
        <w:spacing w:after="40"/>
      </w:pPr>
      <w:r>
        <w:t xml:space="preserve">Verify all documents are dated, signed where required, and version-controlled</w:t>
      </w:r>
    </w:p>
    <w:p>
      <w:pPr>
        <w:pStyle w:val="Heading3"/>
        <w:spacing w:after="40" w:before="160"/>
      </w:pPr>
      <w:r>
        <w:t xml:space="preserve">Step 4: Conduct gap analysis against current regulations</w:t>
      </w:r>
    </w:p>
    <w:p>
      <w:pPr>
        <w:spacing w:after="100"/>
      </w:pPr>
      <w:r>
        <w:t xml:space="preserve">Compare your current controls and evidence against the latest regulatory requirements. Identify any gaps where your documentation is incomplete, your procedures have drifted from policy, or new requirements are not yet addressed. Prioritize gaps by severity — critical findings that could result in enforcement actions go to the top.</w:t>
      </w:r>
    </w:p>
    <w:p>
      <w:pPr>
        <w:pStyle w:val="ListParagraph"/>
        <w:numPr>
          <w:ilvl w:val="1"/>
          <w:numId w:val="1"/>
        </w:numPr>
        <w:spacing w:after="40"/>
      </w:pPr>
      <w:r>
        <w:t xml:space="preserve">Review each control point against the current FFIEC examination handbook guidance</w:t>
      </w:r>
    </w:p>
    <w:p>
      <w:pPr>
        <w:pStyle w:val="ListParagraph"/>
        <w:numPr>
          <w:ilvl w:val="1"/>
          <w:numId w:val="1"/>
        </w:numPr>
        <w:spacing w:after="40"/>
      </w:pPr>
      <w:r>
        <w:t xml:space="preserve">Check for open MRAs or consent order items from prior examinations</w:t>
      </w:r>
    </w:p>
    <w:p>
      <w:pPr>
        <w:pStyle w:val="ListParagraph"/>
        <w:numPr>
          <w:ilvl w:val="1"/>
          <w:numId w:val="1"/>
        </w:numPr>
        <w:spacing w:after="40"/>
      </w:pPr>
      <w:r>
        <w:t xml:space="preserve">Identify any policies or procedures that haven't been updated within the required review cycle</w:t>
      </w:r>
    </w:p>
    <w:p>
      <w:pPr>
        <w:pStyle w:val="ListParagraph"/>
        <w:numPr>
          <w:ilvl w:val="1"/>
          <w:numId w:val="1"/>
        </w:numPr>
        <w:spacing w:after="40"/>
      </w:pPr>
      <w:r>
        <w:t xml:space="preserve">Flag any controls where evidence of execution is missing or incomplete</w:t>
      </w:r>
    </w:p>
    <w:p>
      <w:pPr>
        <w:spacing w:after="100"/>
      </w:pPr>
      <w:r>
        <w:rPr>
          <w:i/>
          <w:iCs/>
          <w:color w:val="1F7A4D"/>
        </w:rPr>
        <w:t xml:space="preserve">Tip: Use Workiva or a similar tool to tag gap items by severity (critical, significant, minor). This makes it easy to prioritize remediation and report status to the board.</w:t>
      </w:r>
    </w:p>
    <w:p>
      <w:pPr>
        <w:pStyle w:val="Heading3"/>
        <w:spacing w:after="40" w:before="160"/>
      </w:pPr>
      <w:r>
        <w:t xml:space="preserve">Step 5: Remediate identified gaps</w:t>
      </w:r>
    </w:p>
    <w:p>
      <w:pPr>
        <w:spacing w:after="100"/>
      </w:pPr>
      <w:r>
        <w:t xml:space="preserve">For each gap identified, assign a remediation owner, set a deadline, and track progress. Critical gaps must be remediated before the examination date. Significant gaps should have a remediation plan documented and in progress. Minor gaps can be addressed on a standard timeline but must still be tracked.</w:t>
      </w:r>
    </w:p>
    <w:p>
      <w:pPr>
        <w:pStyle w:val="ListParagraph"/>
        <w:numPr>
          <w:ilvl w:val="1"/>
          <w:numId w:val="1"/>
        </w:numPr>
        <w:spacing w:after="40"/>
      </w:pPr>
      <w:r>
        <w:t xml:space="preserve">Create remediation tickets in your compliance management system with owner, deadline, and expected evidence</w:t>
      </w:r>
    </w:p>
    <w:p>
      <w:pPr>
        <w:pStyle w:val="ListParagraph"/>
        <w:numPr>
          <w:ilvl w:val="1"/>
          <w:numId w:val="1"/>
        </w:numPr>
        <w:spacing w:after="40"/>
      </w:pPr>
      <w:r>
        <w:t xml:space="preserve">Escalate critical gaps to the Chief Compliance Officer within 24 hours of identification</w:t>
      </w:r>
    </w:p>
    <w:p>
      <w:pPr>
        <w:pStyle w:val="ListParagraph"/>
        <w:numPr>
          <w:ilvl w:val="1"/>
          <w:numId w:val="1"/>
        </w:numPr>
        <w:spacing w:after="40"/>
      </w:pPr>
      <w:r>
        <w:t xml:space="preserve">Schedule weekly check-ins with remediation owners until items are closed</w:t>
      </w:r>
    </w:p>
    <w:p>
      <w:pPr>
        <w:pStyle w:val="ListParagraph"/>
        <w:numPr>
          <w:ilvl w:val="1"/>
          <w:numId w:val="1"/>
        </w:numPr>
        <w:spacing w:after="40"/>
      </w:pPr>
      <w:r>
        <w:t xml:space="preserve">Collect evidence of remediation completion and update the control matrix</w:t>
      </w:r>
    </w:p>
    <w:p>
      <w:pPr>
        <w:spacing w:after="100"/>
      </w:pPr>
      <w:r>
        <w:rPr>
          <w:i/>
          <w:iCs/>
          <w:color w:val="B45309"/>
        </w:rPr>
        <w:t xml:space="preserve">Warning: Never hide a known gap from examiners. Regulators view undisclosed known issues far more seriously than gaps that are identified and being actively remediated.</w:t>
      </w:r>
    </w:p>
    <w:p>
      <w:pPr>
        <w:pStyle w:val="Heading3"/>
        <w:spacing w:after="40" w:before="160"/>
      </w:pPr>
      <w:r>
        <w:t xml:space="preserve">Step 6: Execute a mock audit</w:t>
      </w:r>
    </w:p>
    <w:p>
      <w:pPr>
        <w:spacing w:after="100"/>
      </w:pPr>
      <w:r>
        <w:t xml:space="preserve">Run a mock examination that mirrors the actual regulatory review as closely as possible. Walk through the examiner's expected testing plan, request evidence from business units under time pressure, and test your team's ability to answer questions about control design and effectiveness. Document findings from the mock audit and remediate before the real examination.</w:t>
      </w:r>
    </w:p>
    <w:p>
      <w:pPr>
        <w:pStyle w:val="ListParagraph"/>
        <w:numPr>
          <w:ilvl w:val="1"/>
          <w:numId w:val="1"/>
        </w:numPr>
        <w:spacing w:after="40"/>
      </w:pPr>
      <w:r>
        <w:t xml:space="preserve">Schedule the mock audit at least 30 days before the examination date</w:t>
      </w:r>
    </w:p>
    <w:p>
      <w:pPr>
        <w:pStyle w:val="ListParagraph"/>
        <w:numPr>
          <w:ilvl w:val="1"/>
          <w:numId w:val="1"/>
        </w:numPr>
        <w:spacing w:after="40"/>
      </w:pPr>
      <w:r>
        <w:t xml:space="preserve">Assign an internal auditor or external consultant to play the role of the examiner</w:t>
      </w:r>
    </w:p>
    <w:p>
      <w:pPr>
        <w:pStyle w:val="ListParagraph"/>
        <w:numPr>
          <w:ilvl w:val="1"/>
          <w:numId w:val="1"/>
        </w:numPr>
        <w:spacing w:after="40"/>
      </w:pPr>
      <w:r>
        <w:t xml:space="preserve">Test evidence retrieval speed — can your team produce requested documents within 24 hours?</w:t>
      </w:r>
    </w:p>
    <w:p>
      <w:pPr>
        <w:pStyle w:val="ListParagraph"/>
        <w:numPr>
          <w:ilvl w:val="1"/>
          <w:numId w:val="1"/>
        </w:numPr>
        <w:spacing w:after="40"/>
      </w:pPr>
      <w:r>
        <w:t xml:space="preserve">Identify any areas where staff cannot clearly explain the control or its purpose</w:t>
      </w:r>
    </w:p>
    <w:p>
      <w:pPr>
        <w:pStyle w:val="ListParagraph"/>
        <w:numPr>
          <w:ilvl w:val="1"/>
          <w:numId w:val="1"/>
        </w:numPr>
        <w:spacing w:after="40"/>
      </w:pPr>
      <w:r>
        <w:t xml:space="preserve">Document mock audit findings and add remediation items to the tracking system</w:t>
      </w:r>
    </w:p>
    <w:p>
      <w:pPr>
        <w:pStyle w:val="Heading3"/>
        <w:spacing w:after="40" w:before="160"/>
      </w:pPr>
      <w:r>
        <w:t xml:space="preserve">Step 7: Prepare the examination room and logistics</w:t>
      </w:r>
    </w:p>
    <w:p>
      <w:pPr>
        <w:spacing w:after="100"/>
      </w:pPr>
      <w:r>
        <w:t xml:space="preserve">Set up a dedicated space (physical or virtual) for examiners with secure access to requested documents. Pre-stage the evidence packages, assign a compliance team member to serve as the examiner liaison, and brief all staff who may be interviewed during the examination.</w:t>
      </w:r>
    </w:p>
    <w:p>
      <w:pPr>
        <w:pStyle w:val="ListParagraph"/>
        <w:numPr>
          <w:ilvl w:val="1"/>
          <w:numId w:val="1"/>
        </w:numPr>
        <w:spacing w:after="40"/>
      </w:pPr>
      <w:r>
        <w:t xml:space="preserve">Configure secure shared access in your compliance management system for examiner use</w:t>
      </w:r>
    </w:p>
    <w:p>
      <w:pPr>
        <w:pStyle w:val="ListParagraph"/>
        <w:numPr>
          <w:ilvl w:val="1"/>
          <w:numId w:val="1"/>
        </w:numPr>
        <w:spacing w:after="40"/>
      </w:pPr>
      <w:r>
        <w:t xml:space="preserve">Pre-load all evidence packages organized by control objective</w:t>
      </w:r>
    </w:p>
    <w:p>
      <w:pPr>
        <w:pStyle w:val="ListParagraph"/>
        <w:numPr>
          <w:ilvl w:val="1"/>
          <w:numId w:val="1"/>
        </w:numPr>
        <w:spacing w:after="40"/>
      </w:pPr>
      <w:r>
        <w:t xml:space="preserve">Brief business unit leads on examination scope and potential interview topics</w:t>
      </w:r>
    </w:p>
    <w:p>
      <w:pPr>
        <w:pStyle w:val="ListParagraph"/>
        <w:numPr>
          <w:ilvl w:val="1"/>
          <w:numId w:val="1"/>
        </w:numPr>
        <w:spacing w:after="40"/>
      </w:pPr>
      <w:r>
        <w:t xml:space="preserve">Establish a communication protocol for handling ad-hoc document requests during the examination</w:t>
      </w:r>
    </w:p>
    <w:p>
      <w:pPr>
        <w:pStyle w:val="Heading3"/>
        <w:spacing w:after="40" w:before="160"/>
      </w:pPr>
      <w:r>
        <w:t xml:space="preserve">Step 8: Support the examination and track requests</w:t>
      </w:r>
    </w:p>
    <w:p>
      <w:pPr>
        <w:spacing w:after="100"/>
      </w:pPr>
      <w:r>
        <w:t xml:space="preserve">During the examination, respond to all document requests within the agreed timeframe (typically 24 hours). Log every request, who fulfilled it, and what was provided. Track examiner questions and concerns in real time so you can begin preparing responses before the formal findings are issued.</w:t>
      </w:r>
    </w:p>
    <w:p>
      <w:pPr>
        <w:pStyle w:val="ListParagraph"/>
        <w:numPr>
          <w:ilvl w:val="1"/>
          <w:numId w:val="1"/>
        </w:numPr>
        <w:spacing w:after="40"/>
      </w:pPr>
      <w:r>
        <w:t xml:space="preserve">Maintain a live tracker of all examiner requests with status and response timestamps</w:t>
      </w:r>
    </w:p>
    <w:p>
      <w:pPr>
        <w:pStyle w:val="ListParagraph"/>
        <w:numPr>
          <w:ilvl w:val="1"/>
          <w:numId w:val="1"/>
        </w:numPr>
        <w:spacing w:after="40"/>
      </w:pPr>
      <w:r>
        <w:t xml:space="preserve">Route each request to the appropriate business unit liaison for fulfillment</w:t>
      </w:r>
    </w:p>
    <w:p>
      <w:pPr>
        <w:pStyle w:val="ListParagraph"/>
        <w:numPr>
          <w:ilvl w:val="1"/>
          <w:numId w:val="1"/>
        </w:numPr>
        <w:spacing w:after="40"/>
      </w:pPr>
      <w:r>
        <w:t xml:space="preserve">Review all documents before providing them to examiners to ensure accuracy and completeness</w:t>
      </w:r>
    </w:p>
    <w:p>
      <w:pPr>
        <w:pStyle w:val="ListParagraph"/>
        <w:numPr>
          <w:ilvl w:val="1"/>
          <w:numId w:val="1"/>
        </w:numPr>
        <w:spacing w:after="40"/>
      </w:pPr>
      <w:r>
        <w:t xml:space="preserve">Note any areas of examiner concern for early remediation planning</w:t>
      </w:r>
    </w:p>
    <w:p>
      <w:pPr>
        <w:spacing w:after="100"/>
      </w:pPr>
      <w:r>
        <w:rPr>
          <w:i/>
          <w:iCs/>
          <w:color w:val="1F7A4D"/>
        </w:rPr>
        <w:t xml:space="preserve">Tip: Keep a daily debrief during the examination week. Discuss what examiners focused on, what follow-up questions they asked, and where they seemed dissatisfied. This helps you prepare for findings before they arrive.</w:t>
      </w:r>
    </w:p>
    <w:p>
      <w:pPr>
        <w:pStyle w:val="Heading3"/>
        <w:spacing w:after="40" w:before="160"/>
      </w:pPr>
      <w:r>
        <w:t xml:space="preserve">Step 9: Review findings and build a remediation plan</w:t>
      </w:r>
    </w:p>
    <w:p>
      <w:pPr>
        <w:spacing w:after="100"/>
      </w:pPr>
      <w:r>
        <w:t xml:space="preserve">Once the examination report is issued, review every finding with the compliance team and affected business units. Classify each finding by severity. Build a remediation plan with specific actions, owners, and deadlines. Present the plan to the board audit committee within 30 days of receiving the report.</w:t>
      </w:r>
    </w:p>
    <w:p>
      <w:pPr>
        <w:pStyle w:val="ListParagraph"/>
        <w:numPr>
          <w:ilvl w:val="1"/>
          <w:numId w:val="1"/>
        </w:numPr>
        <w:spacing w:after="40"/>
      </w:pPr>
      <w:r>
        <w:t xml:space="preserve">Schedule a findings review meeting within 5 business days of receiving the report</w:t>
      </w:r>
    </w:p>
    <w:p>
      <w:pPr>
        <w:pStyle w:val="ListParagraph"/>
        <w:numPr>
          <w:ilvl w:val="1"/>
          <w:numId w:val="1"/>
        </w:numPr>
        <w:spacing w:after="40"/>
      </w:pPr>
      <w:r>
        <w:t xml:space="preserve">Map each finding to the specific control point and root cause</w:t>
      </w:r>
    </w:p>
    <w:p>
      <w:pPr>
        <w:pStyle w:val="ListParagraph"/>
        <w:numPr>
          <w:ilvl w:val="1"/>
          <w:numId w:val="1"/>
        </w:numPr>
        <w:spacing w:after="40"/>
      </w:pPr>
      <w:r>
        <w:t xml:space="preserve">Assign remediation owners and set deadlines that meet regulatory expectations</w:t>
      </w:r>
    </w:p>
    <w:p>
      <w:pPr>
        <w:pStyle w:val="ListParagraph"/>
        <w:numPr>
          <w:ilvl w:val="1"/>
          <w:numId w:val="1"/>
        </w:numPr>
        <w:spacing w:after="40"/>
      </w:pPr>
      <w:r>
        <w:t xml:space="preserve">Draft the board audit committee presentation with findings summary and remediation timeline</w:t>
      </w:r>
    </w:p>
    <w:p>
      <w:pPr>
        <w:pStyle w:val="Heading3"/>
        <w:spacing w:after="40" w:before="160"/>
      </w:pPr>
      <w:r>
        <w:t xml:space="preserve">Step 10: Track remediation to closure and update the SOP</w:t>
      </w:r>
    </w:p>
    <w:p>
      <w:pPr>
        <w:spacing w:after="100"/>
      </w:pPr>
      <w:r>
        <w:t xml:space="preserve">Monitor remediation progress through weekly status meetings until all items are closed. Collect evidence of completion for each remediation action. Update policies, procedures, and this SOP based on lessons learned. Feed findings back into the control matrix so they are tested in the next audit cycle.</w:t>
      </w:r>
    </w:p>
    <w:p>
      <w:pPr>
        <w:pStyle w:val="ListParagraph"/>
        <w:numPr>
          <w:ilvl w:val="1"/>
          <w:numId w:val="1"/>
        </w:numPr>
        <w:spacing w:after="40"/>
      </w:pPr>
      <w:r>
        <w:t xml:space="preserve">Hold weekly remediation status meetings with all item owners</w:t>
      </w:r>
    </w:p>
    <w:p>
      <w:pPr>
        <w:pStyle w:val="ListParagraph"/>
        <w:numPr>
          <w:ilvl w:val="1"/>
          <w:numId w:val="1"/>
        </w:numPr>
        <w:spacing w:after="40"/>
      </w:pPr>
      <w:r>
        <w:t xml:space="preserve">Collect and archive evidence of completion for each remediation action</w:t>
      </w:r>
    </w:p>
    <w:p>
      <w:pPr>
        <w:pStyle w:val="ListParagraph"/>
        <w:numPr>
          <w:ilvl w:val="1"/>
          <w:numId w:val="1"/>
        </w:numPr>
        <w:spacing w:after="40"/>
      </w:pPr>
      <w:r>
        <w:t xml:space="preserve">Update the compliance control matrix with any new or revised controls</w:t>
      </w:r>
    </w:p>
    <w:p>
      <w:pPr>
        <w:pStyle w:val="ListParagraph"/>
        <w:numPr>
          <w:ilvl w:val="1"/>
          <w:numId w:val="1"/>
        </w:numPr>
        <w:spacing w:after="40"/>
      </w:pPr>
      <w:r>
        <w:t xml:space="preserve">Revise this SOP based on process improvements identified during the examination</w:t>
      </w:r>
    </w:p>
    <w:p>
      <w:pPr>
        <w:pStyle w:val="Heading2"/>
        <w:spacing w:after="100" w:before="240"/>
      </w:pPr>
      <w:r>
        <w:t xml:space="preserve">Completion Checklist</w:t>
      </w:r>
    </w:p>
    <w:p>
      <w:pPr>
        <w:spacing w:after="40"/>
      </w:pPr>
      <w:r>
        <w:t xml:space="preserve">☐  Regulatory examination calendar reviewed and current for the fiscal year</w:t>
      </w:r>
    </w:p>
    <w:p>
      <w:pPr>
        <w:spacing w:after="40"/>
      </w:pPr>
      <w:r>
        <w:t xml:space="preserve">☐  Control matrix updated with all current regulatory requirements</w:t>
      </w:r>
    </w:p>
    <w:p>
      <w:pPr>
        <w:spacing w:after="40"/>
      </w:pPr>
      <w:r>
        <w:t xml:space="preserve">☐  Evidence packages gathered and organized by control objective</w:t>
      </w:r>
    </w:p>
    <w:p>
      <w:pPr>
        <w:spacing w:after="40"/>
      </w:pPr>
      <w:r>
        <w:t xml:space="preserve">☐  Gap analysis completed with all items classified by severity</w:t>
      </w:r>
    </w:p>
    <w:p>
      <w:pPr>
        <w:spacing w:after="40"/>
      </w:pPr>
      <w:r>
        <w:t xml:space="preserve">☐  Critical and significant gaps remediated or remediation plan documented</w:t>
      </w:r>
    </w:p>
    <w:p>
      <w:pPr>
        <w:spacing w:after="40"/>
      </w:pPr>
      <w:r>
        <w:t xml:space="preserve">☐  Mock audit conducted at least 30 days before examination</w:t>
      </w:r>
    </w:p>
    <w:p>
      <w:pPr>
        <w:spacing w:after="40"/>
      </w:pPr>
      <w:r>
        <w:t xml:space="preserve">☐  Mock audit findings remediated before examination date</w:t>
      </w:r>
    </w:p>
    <w:p>
      <w:pPr>
        <w:spacing w:after="40"/>
      </w:pPr>
      <w:r>
        <w:t xml:space="preserve">☐  Examination room or virtual workspace configured with secure access</w:t>
      </w:r>
    </w:p>
    <w:p>
      <w:pPr>
        <w:spacing w:after="40"/>
      </w:pPr>
      <w:r>
        <w:t xml:space="preserve">☐  Business unit leads briefed on examination scope and interview protocol</w:t>
      </w:r>
    </w:p>
    <w:p>
      <w:pPr>
        <w:spacing w:after="40"/>
      </w:pPr>
      <w:r>
        <w:t xml:space="preserve">☐  All prior MRAs and consent order items addressed or status documented</w:t>
      </w:r>
    </w:p>
    <w:p>
      <w:pPr>
        <w:spacing w:after="40"/>
      </w:pPr>
      <w:r>
        <w:t xml:space="preserve">☐  Remediation plan presented to board audit committee within 30 days of findings</w:t>
      </w:r>
    </w:p>
    <w:p>
      <w:pPr>
        <w:spacing w:after="40"/>
      </w:pPr>
      <w:r>
        <w:t xml:space="preserve">☐  All remediation items tracked to closure with evidence archived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Examination findings count per cycle</w:t>
            </w:r>
          </w:p>
        </w:tc>
        <w:tc>
          <w:tcPr>
            <w:tcMar>
              <w:top w:type="dxa" w:w="60"/>
              <w:left w:type="dxa" w:w="120"/>
              <w:bottom w:type="dxa" w:w="60"/>
              <w:right w:type="dxa" w:w="120"/>
            </w:tcMar>
          </w:tcPr>
          <w:p>
            <w:r>
              <w:rPr>
                <w:b w:val="false"/>
                <w:bCs w:val="false"/>
              </w:rPr>
              <w:t xml:space="preserve">Decreasing trend year over year, zero critical findings</w:t>
            </w:r>
          </w:p>
        </w:tc>
      </w:tr>
      <w:tr>
        <w:trPr>
          <w:tblHeader w:val="false"/>
        </w:trPr>
        <w:tc>
          <w:tcPr>
            <w:tcMar>
              <w:top w:type="dxa" w:w="60"/>
              <w:left w:type="dxa" w:w="120"/>
              <w:bottom w:type="dxa" w:w="60"/>
              <w:right w:type="dxa" w:w="120"/>
            </w:tcMar>
          </w:tcPr>
          <w:p>
            <w:r>
              <w:rPr>
                <w:b w:val="false"/>
                <w:bCs w:val="false"/>
              </w:rPr>
              <w:t xml:space="preserve">Evidence request response time during examination</w:t>
            </w:r>
          </w:p>
        </w:tc>
        <w:tc>
          <w:tcPr>
            <w:tcMar>
              <w:top w:type="dxa" w:w="60"/>
              <w:left w:type="dxa" w:w="120"/>
              <w:bottom w:type="dxa" w:w="60"/>
              <w:right w:type="dxa" w:w="120"/>
            </w:tcMar>
          </w:tcPr>
          <w:p>
            <w:r>
              <w:rPr>
                <w:b w:val="false"/>
                <w:bCs w:val="false"/>
              </w:rPr>
              <w:t xml:space="preserve">Under 24 hours for all requests</w:t>
            </w:r>
          </w:p>
        </w:tc>
      </w:tr>
      <w:tr>
        <w:trPr>
          <w:tblHeader w:val="false"/>
        </w:trPr>
        <w:tc>
          <w:tcPr>
            <w:tcMar>
              <w:top w:type="dxa" w:w="60"/>
              <w:left w:type="dxa" w:w="120"/>
              <w:bottom w:type="dxa" w:w="60"/>
              <w:right w:type="dxa" w:w="120"/>
            </w:tcMar>
          </w:tcPr>
          <w:p>
            <w:r>
              <w:rPr>
                <w:b w:val="false"/>
                <w:bCs w:val="false"/>
              </w:rPr>
              <w:t xml:space="preserve">Remediation closure rate within regulatory deadlines</w:t>
            </w:r>
          </w:p>
        </w:tc>
        <w:tc>
          <w:tcPr>
            <w:tcMar>
              <w:top w:type="dxa" w:w="60"/>
              <w:left w:type="dxa" w:w="120"/>
              <w:bottom w:type="dxa" w:w="60"/>
              <w:right w:type="dxa" w:w="120"/>
            </w:tcMar>
          </w:tcPr>
          <w:p>
            <w:r>
              <w:rPr>
                <w:b w:val="false"/>
                <w:bCs w:val="false"/>
              </w:rPr>
              <w:t xml:space="preserve">100% of items closed on time</w:t>
            </w:r>
          </w:p>
        </w:tc>
      </w:tr>
      <w:tr>
        <w:trPr>
          <w:tblHeader w:val="false"/>
        </w:trPr>
        <w:tc>
          <w:tcPr>
            <w:tcMar>
              <w:top w:type="dxa" w:w="60"/>
              <w:left w:type="dxa" w:w="120"/>
              <w:bottom w:type="dxa" w:w="60"/>
              <w:right w:type="dxa" w:w="120"/>
            </w:tcMar>
          </w:tcPr>
          <w:p>
            <w:r>
              <w:rPr>
                <w:b w:val="false"/>
                <w:bCs w:val="false"/>
              </w:rPr>
              <w:t xml:space="preserve">Gap analysis completion before examination</w:t>
            </w:r>
          </w:p>
        </w:tc>
        <w:tc>
          <w:tcPr>
            <w:tcMar>
              <w:top w:type="dxa" w:w="60"/>
              <w:left w:type="dxa" w:w="120"/>
              <w:bottom w:type="dxa" w:w="60"/>
              <w:right w:type="dxa" w:w="120"/>
            </w:tcMar>
          </w:tcPr>
          <w:p>
            <w:r>
              <w:rPr>
                <w:b w:val="false"/>
                <w:bCs w:val="false"/>
              </w:rPr>
              <w:t xml:space="preserve">Completed at least 60 days before each examination</w:t>
            </w:r>
          </w:p>
        </w:tc>
      </w:tr>
      <w:tr>
        <w:trPr>
          <w:tblHeader w:val="false"/>
        </w:trPr>
        <w:tc>
          <w:tcPr>
            <w:tcMar>
              <w:top w:type="dxa" w:w="60"/>
              <w:left w:type="dxa" w:w="120"/>
              <w:bottom w:type="dxa" w:w="60"/>
              <w:right w:type="dxa" w:w="120"/>
            </w:tcMar>
          </w:tcPr>
          <w:p>
            <w:r>
              <w:rPr>
                <w:b w:val="false"/>
                <w:bCs w:val="false"/>
              </w:rPr>
              <w:t xml:space="preserve">Mock audit execution rate</w:t>
            </w:r>
          </w:p>
        </w:tc>
        <w:tc>
          <w:tcPr>
            <w:tcMar>
              <w:top w:type="dxa" w:w="60"/>
              <w:left w:type="dxa" w:w="120"/>
              <w:bottom w:type="dxa" w:w="60"/>
              <w:right w:type="dxa" w:w="120"/>
            </w:tcMar>
          </w:tcPr>
          <w:p>
            <w:r>
              <w:rPr>
                <w:b w:val="false"/>
                <w:bCs w:val="false"/>
              </w:rPr>
              <w:t xml:space="preserve">One mock audit before every regulatory examination</w:t>
            </w:r>
          </w:p>
        </w:tc>
      </w:tr>
    </w:tbl>
    <w:p>
      <w:pPr>
        <w:pStyle w:val="Heading2"/>
        <w:spacing w:after="100" w:before="240"/>
      </w:pPr>
      <w:r>
        <w:t xml:space="preserve">Revision Schedule</w:t>
      </w:r>
    </w:p>
    <w:p>
      <w:pPr>
        <w:spacing w:after="100"/>
      </w:pPr>
      <w:r>
        <w:t xml:space="preserve">After each regulatory examination, or immediately when new regulations take effect. At minimum, review annually alongside the regulatory calendar update.</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Compliance Audit for Financial Services</dc:title>
  <dc:creator>Glyde</dc:creator>
  <dc:description>Free compliance audit SOP template for financial services. Covers SOX, FINRA, AML/BSA prep, evidence gathering, gap analysis, and remediation tracking.</dc:description>
  <cp:lastModifiedBy>Un-named</cp:lastModifiedBy>
  <cp:revision>1</cp:revision>
  <dcterms:created xsi:type="dcterms:W3CDTF">2026-07-22T08:34:35.259Z</dcterms:created>
  <dcterms:modified xsi:type="dcterms:W3CDTF">2026-07-22T08:34:35.259Z</dcterms:modified>
</cp:coreProperties>
</file>

<file path=docProps/custom.xml><?xml version="1.0" encoding="utf-8"?>
<Properties xmlns="http://schemas.openxmlformats.org/officeDocument/2006/custom-properties" xmlns:vt="http://schemas.openxmlformats.org/officeDocument/2006/docPropsVTypes"/>
</file>