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Insurance Compliance Audit Preparation Standard Operating Procedure Template</w:t>
      </w:r>
    </w:p>
    <w:p>
      <w:pPr>
        <w:spacing w:after="200"/>
      </w:pPr>
      <w:r>
        <w:rPr>
          <w:i/>
          <w:iCs/>
          <w:color w:val="6B7280"/>
        </w:rPr>
        <w:t xml:space="preserve">Free compliance audit preparation SOP template designed for Insurance Compliance &amp; Legal teams. Includes step-by-step procedures, checklist, roles, and KPIs.</w:t>
      </w:r>
    </w:p>
    <w:p>
      <w:pPr>
        <w:pStyle w:val="Heading2"/>
        <w:spacing w:after="100" w:before="240"/>
      </w:pPr>
      <w:r>
        <w:t xml:space="preserve">Purpose</w:t>
      </w:r>
    </w:p>
    <w:p>
      <w:pPr>
        <w:spacing w:after="100"/>
      </w:pPr>
      <w:r>
        <w:t xml:space="preserve">To establish a clear, repeatable process for Insurance Compliance &amp; Legal teams to prepare for internal or external regulatory audits, ensuring adherence to state insurance regulations and NAIC guidelines, and minimizing findings.</w:t>
      </w:r>
    </w:p>
    <w:p>
      <w:pPr>
        <w:pStyle w:val="Heading2"/>
        <w:spacing w:after="100" w:before="240"/>
      </w:pPr>
      <w:r>
        <w:t xml:space="preserve">Scope</w:t>
      </w:r>
    </w:p>
    <w:p>
      <w:pPr>
        <w:spacing w:after="100"/>
      </w:pPr>
      <w:r>
        <w:t xml:space="preserve">This SOP covers all activities related to preparing documentation and evidence for regulatory or internal compliance audits concerning insurance operations, from initial notification to post-audit remediation planning. It does not cover financial statement audits.</w:t>
      </w:r>
    </w:p>
    <w:p>
      <w:pPr>
        <w:pStyle w:val="Heading2"/>
        <w:spacing w:after="100" w:before="240"/>
      </w:pPr>
      <w:r>
        <w:t xml:space="preserve">Prerequisites</w:t>
      </w:r>
    </w:p>
    <w:p>
      <w:pPr>
        <w:pStyle w:val="ListParagraph"/>
        <w:numPr>
          <w:ilvl w:val="0"/>
          <w:numId w:val="1"/>
        </w:numPr>
        <w:spacing w:after="40"/>
      </w:pPr>
      <w:r>
        <w:t xml:space="preserve">Official audit notification letter detailing scope and requested items</w:t>
      </w:r>
    </w:p>
    <w:p>
      <w:pPr>
        <w:pStyle w:val="ListParagraph"/>
        <w:numPr>
          <w:ilvl w:val="0"/>
          <w:numId w:val="1"/>
        </w:numPr>
        <w:spacing w:after="40"/>
      </w:pPr>
      <w:r>
        <w:t xml:space="preserve">Access to Guidewire, Applied Epic, Salesforce, and Microsoft 365 (SharePoint/Teams)</w:t>
      </w:r>
    </w:p>
    <w:p>
      <w:pPr>
        <w:pStyle w:val="ListParagraph"/>
        <w:numPr>
          <w:ilvl w:val="0"/>
          <w:numId w:val="1"/>
        </w:numPr>
        <w:spacing w:after="40"/>
      </w:pPr>
      <w:r>
        <w:t xml:space="preserve">Current copies of all internal compliance policies and procedures</w:t>
      </w:r>
    </w:p>
    <w:p>
      <w:pPr>
        <w:pStyle w:val="ListParagraph"/>
        <w:numPr>
          <w:ilvl w:val="0"/>
          <w:numId w:val="1"/>
        </w:numPr>
        <w:spacing w:after="40"/>
      </w:pPr>
      <w:r>
        <w:t xml:space="preserve">Updated knowledge of relevant state insurance regulations and NAIC model laws</w:t>
      </w:r>
    </w:p>
    <w:p>
      <w:pPr>
        <w:pStyle w:val="ListParagraph"/>
        <w:numPr>
          <w:ilvl w:val="0"/>
          <w:numId w:val="1"/>
        </w:numPr>
        <w:spacing w:after="40"/>
      </w:pPr>
      <w:r>
        <w:t xml:space="preserve">Designated audit lead and support team</w:t>
      </w:r>
    </w:p>
    <w:p>
      <w:pPr>
        <w:pStyle w:val="Heading2"/>
        <w:spacing w:after="100" w:before="240"/>
      </w:pPr>
      <w:r>
        <w:t xml:space="preserve">Roles &amp; Responsibilities</w:t>
      </w:r>
    </w:p>
    <w:p>
      <w:pPr>
        <w:spacing w:after="40" w:before="120"/>
      </w:pPr>
      <w:r>
        <w:rPr>
          <w:b/>
          <w:bCs/>
        </w:rPr>
        <w:t xml:space="preserve">Compliance Officer</w:t>
      </w:r>
    </w:p>
    <w:p>
      <w:pPr>
        <w:pStyle w:val="ListParagraph"/>
        <w:numPr>
          <w:ilvl w:val="0"/>
          <w:numId w:val="1"/>
        </w:numPr>
        <w:spacing w:after="40"/>
      </w:pPr>
      <w:r>
        <w:t xml:space="preserve">Oversees the entire audit preparation process</w:t>
      </w:r>
    </w:p>
    <w:p>
      <w:pPr>
        <w:pStyle w:val="ListParagraph"/>
        <w:numPr>
          <w:ilvl w:val="0"/>
          <w:numId w:val="1"/>
        </w:numPr>
        <w:spacing w:after="40"/>
      </w:pPr>
      <w:r>
        <w:t xml:space="preserve">Liaises with external auditors and internal leadership</w:t>
      </w:r>
    </w:p>
    <w:p>
      <w:pPr>
        <w:pStyle w:val="ListParagraph"/>
        <w:numPr>
          <w:ilvl w:val="0"/>
          <w:numId w:val="1"/>
        </w:numPr>
        <w:spacing w:after="40"/>
      </w:pPr>
      <w:r>
        <w:t xml:space="preserve">Approves final documentation submissions</w:t>
      </w:r>
    </w:p>
    <w:p>
      <w:pPr>
        <w:spacing w:after="40" w:before="120"/>
      </w:pPr>
      <w:r>
        <w:rPr>
          <w:b/>
          <w:bCs/>
        </w:rPr>
        <w:t xml:space="preserve">Legal Ops Specialist</w:t>
      </w:r>
    </w:p>
    <w:p>
      <w:pPr>
        <w:pStyle w:val="ListParagraph"/>
        <w:numPr>
          <w:ilvl w:val="0"/>
          <w:numId w:val="1"/>
        </w:numPr>
        <w:spacing w:after="40"/>
      </w:pPr>
      <w:r>
        <w:t xml:space="preserve">Coordinates document gathering from various departments</w:t>
      </w:r>
    </w:p>
    <w:p>
      <w:pPr>
        <w:pStyle w:val="ListParagraph"/>
        <w:numPr>
          <w:ilvl w:val="0"/>
          <w:numId w:val="1"/>
        </w:numPr>
        <w:spacing w:after="40"/>
      </w:pPr>
      <w:r>
        <w:t xml:space="preserve">Manages the audit evidence repository in Microsoft 365</w:t>
      </w:r>
    </w:p>
    <w:p>
      <w:pPr>
        <w:pStyle w:val="ListParagraph"/>
        <w:numPr>
          <w:ilvl w:val="0"/>
          <w:numId w:val="1"/>
        </w:numPr>
        <w:spacing w:after="40"/>
      </w:pPr>
      <w:r>
        <w:t xml:space="preserve">Ensures document version control and accessibility</w:t>
      </w:r>
    </w:p>
    <w:p>
      <w:pPr>
        <w:spacing w:after="40" w:before="120"/>
      </w:pPr>
      <w:r>
        <w:rPr>
          <w:b/>
          <w:bCs/>
        </w:rPr>
        <w:t xml:space="preserve">Risk Manager</w:t>
      </w:r>
    </w:p>
    <w:p>
      <w:pPr>
        <w:pStyle w:val="ListParagraph"/>
        <w:numPr>
          <w:ilvl w:val="0"/>
          <w:numId w:val="1"/>
        </w:numPr>
        <w:spacing w:after="40"/>
      </w:pPr>
      <w:r>
        <w:t xml:space="preserve">Conducts gap analysis against regulatory requirements</w:t>
      </w:r>
    </w:p>
    <w:p>
      <w:pPr>
        <w:pStyle w:val="ListParagraph"/>
        <w:numPr>
          <w:ilvl w:val="0"/>
          <w:numId w:val="1"/>
        </w:numPr>
        <w:spacing w:after="40"/>
      </w:pPr>
      <w:r>
        <w:t xml:space="preserve">Identifies potential audit findings and advises on remediation</w:t>
      </w:r>
    </w:p>
    <w:p>
      <w:pPr>
        <w:pStyle w:val="ListParagraph"/>
        <w:numPr>
          <w:ilvl w:val="0"/>
          <w:numId w:val="1"/>
        </w:numPr>
        <w:spacing w:after="40"/>
      </w:pPr>
      <w:r>
        <w:t xml:space="preserve">Assesses the impact of non-compliance on insurance operations</w:t>
      </w:r>
    </w:p>
    <w:p>
      <w:pPr>
        <w:spacing w:after="40" w:before="120"/>
      </w:pPr>
      <w:r>
        <w:rPr>
          <w:b/>
          <w:bCs/>
        </w:rPr>
        <w:t xml:space="preserve">Claims Manager / Underwriting Manager</w:t>
      </w:r>
    </w:p>
    <w:p>
      <w:pPr>
        <w:pStyle w:val="ListParagraph"/>
        <w:numPr>
          <w:ilvl w:val="0"/>
          <w:numId w:val="1"/>
        </w:numPr>
        <w:spacing w:after="40"/>
      </w:pPr>
      <w:r>
        <w:t xml:space="preserve">Provides specific claims or underwriting files and data from Guidewire or Applied Epic</w:t>
      </w:r>
    </w:p>
    <w:p>
      <w:pPr>
        <w:pStyle w:val="ListParagraph"/>
        <w:numPr>
          <w:ilvl w:val="0"/>
          <w:numId w:val="1"/>
        </w:numPr>
        <w:spacing w:after="40"/>
      </w:pPr>
      <w:r>
        <w:t xml:space="preserve">Ensures departmental procedures align with compliance standards</w:t>
      </w:r>
    </w:p>
    <w:p>
      <w:pPr>
        <w:pStyle w:val="ListParagraph"/>
        <w:numPr>
          <w:ilvl w:val="0"/>
          <w:numId w:val="1"/>
        </w:numPr>
        <w:spacing w:after="40"/>
      </w:pPr>
      <w:r>
        <w:t xml:space="preserve">Prepares team members for potential auditor interviews</w:t>
      </w:r>
    </w:p>
    <w:p>
      <w:pPr>
        <w:pStyle w:val="Heading2"/>
        <w:spacing w:after="100" w:before="240"/>
      </w:pPr>
      <w:r>
        <w:t xml:space="preserve">Procedure</w:t>
      </w:r>
    </w:p>
    <w:p>
      <w:pPr>
        <w:pStyle w:val="Heading3"/>
        <w:spacing w:after="40" w:before="160"/>
      </w:pPr>
      <w:r>
        <w:t xml:space="preserve">Step 1: Review Audit Notification and Define Scope</w:t>
      </w:r>
    </w:p>
    <w:p>
      <w:pPr>
        <w:spacing w:after="100"/>
      </w:pPr>
      <w:r>
        <w:t xml:space="preserve">Upon receiving an audit notification, the Compliance Officer must immediately review the audit letter to understand the scope, timeline, and specific regulatory areas (e.g., policy forms, claims handling, producer licensing) under examination. Identify which state insurance regulations or NAIC guidelines are most relevant to the audit's focus.</w:t>
      </w:r>
    </w:p>
    <w:p>
      <w:pPr>
        <w:spacing w:after="100"/>
      </w:pPr>
      <w:r>
        <w:rPr>
          <w:i/>
          <w:iCs/>
          <w:color w:val="1F7A4D"/>
        </w:rPr>
        <w:t xml:space="preserve">Tip: Create a summary document outlining the audit's key parameters and distribute it to all involved parties within 24 hours of receipt.</w:t>
      </w:r>
    </w:p>
    <w:p>
      <w:pPr>
        <w:pStyle w:val="Heading3"/>
        <w:spacing w:after="40" w:before="160"/>
      </w:pPr>
      <w:r>
        <w:t xml:space="preserve">Step 2: Initiate Document Gathering from Core Systems</w:t>
      </w:r>
    </w:p>
    <w:p>
      <w:pPr>
        <w:spacing w:after="100"/>
      </w:pPr>
      <w:r>
        <w:t xml:space="preserve">The Legal Ops Specialist, guided by the audit scope, will request and gather all relevant policies, procedures, claims files, underwriting records, and producer licensing data. Access Guidewire for claims and policy data, Applied Epic for agency and producer records, and Salesforce for customer interaction logs. Ensure all documents are current and reflect actual practices.</w:t>
      </w:r>
    </w:p>
    <w:p>
      <w:pPr>
        <w:pStyle w:val="ListParagraph"/>
        <w:numPr>
          <w:ilvl w:val="1"/>
          <w:numId w:val="1"/>
        </w:numPr>
        <w:spacing w:after="40"/>
      </w:pPr>
      <w:r>
        <w:t xml:space="preserve">Extract claims processing logs and dispute resolutions from Guidewire.</w:t>
      </w:r>
    </w:p>
    <w:p>
      <w:pPr>
        <w:pStyle w:val="ListParagraph"/>
        <w:numPr>
          <w:ilvl w:val="1"/>
          <w:numId w:val="1"/>
        </w:numPr>
        <w:spacing w:after="40"/>
      </w:pPr>
      <w:r>
        <w:t xml:space="preserve">Retrieve underwriting guidelines and policy issuance records from Applied Epic.</w:t>
      </w:r>
    </w:p>
    <w:p>
      <w:pPr>
        <w:pStyle w:val="ListParagraph"/>
        <w:numPr>
          <w:ilvl w:val="1"/>
          <w:numId w:val="1"/>
        </w:numPr>
        <w:spacing w:after="40"/>
      </w:pPr>
      <w:r>
        <w:t xml:space="preserve">Collect producer licensing verification reports from Applied Epic.</w:t>
      </w:r>
    </w:p>
    <w:p>
      <w:pPr>
        <w:pStyle w:val="ListParagraph"/>
        <w:numPr>
          <w:ilvl w:val="1"/>
          <w:numId w:val="1"/>
        </w:numPr>
        <w:spacing w:after="40"/>
      </w:pPr>
      <w:r>
        <w:t xml:space="preserve">Download relevant customer communication logs from Salesforce.</w:t>
      </w:r>
    </w:p>
    <w:p>
      <w:pPr>
        <w:spacing w:after="100"/>
      </w:pPr>
      <w:r>
        <w:rPr>
          <w:i/>
          <w:iCs/>
          <w:color w:val="B45309"/>
        </w:rPr>
        <w:t xml:space="preserve">Warning: Do not alter any records. If a discrepancy is found, document it for internal review, but submit original evidence.</w:t>
      </w:r>
    </w:p>
    <w:p>
      <w:pPr>
        <w:pStyle w:val="Heading3"/>
        <w:spacing w:after="40" w:before="160"/>
      </w:pPr>
      <w:r>
        <w:t xml:space="preserve">Step 3: Conduct Gap Analysis Against Insurance Regulations</w:t>
      </w:r>
    </w:p>
    <w:p>
      <w:pPr>
        <w:spacing w:after="100"/>
      </w:pPr>
      <w:r>
        <w:t xml:space="preserve">The Risk Manager and Compliance Officer will compare the gathered documents and operational practices against the specific state insurance regulations and NAIC model laws identified in Step 1. This involves identifying any missing documentation, outdated policies, or instances where current practices deviate from regulatory requirements.</w:t>
      </w:r>
    </w:p>
    <w:p>
      <w:pPr>
        <w:pStyle w:val="ListParagraph"/>
        <w:numPr>
          <w:ilvl w:val="1"/>
          <w:numId w:val="1"/>
        </w:numPr>
        <w:spacing w:after="40"/>
      </w:pPr>
      <w:r>
        <w:t xml:space="preserve">Verify all policy forms are approved by the relevant state Department of Insurance (DOI).</w:t>
      </w:r>
    </w:p>
    <w:p>
      <w:pPr>
        <w:pStyle w:val="ListParagraph"/>
        <w:numPr>
          <w:ilvl w:val="1"/>
          <w:numId w:val="1"/>
        </w:numPr>
        <w:spacing w:after="40"/>
      </w:pPr>
      <w:r>
        <w:t xml:space="preserve">Check claims handling timelines in Guidewire against state prompt pay laws.</w:t>
      </w:r>
    </w:p>
    <w:p>
      <w:pPr>
        <w:pStyle w:val="ListParagraph"/>
        <w:numPr>
          <w:ilvl w:val="1"/>
          <w:numId w:val="1"/>
        </w:numPr>
        <w:spacing w:after="40"/>
      </w:pPr>
      <w:r>
        <w:t xml:space="preserve">Confirm producer appointment and termination processes align with state requirements.</w:t>
      </w:r>
    </w:p>
    <w:p>
      <w:pPr>
        <w:spacing w:after="100"/>
      </w:pPr>
      <w:r>
        <w:rPr>
          <w:i/>
          <w:iCs/>
          <w:color w:val="1F7A4D"/>
        </w:rPr>
        <w:t xml:space="preserve">Tip: Prioritize gaps that represent potential high-severity findings or direct violations of NAIC Market Conduct Examination standards.</w:t>
      </w:r>
    </w:p>
    <w:p>
      <w:pPr>
        <w:pStyle w:val="Heading3"/>
        <w:spacing w:after="40" w:before="160"/>
      </w:pPr>
      <w:r>
        <w:t xml:space="preserve">Step 4: Organize and Secure Evidence in Microsoft 365</w:t>
      </w:r>
    </w:p>
    <w:p>
      <w:pPr>
        <w:spacing w:after="100"/>
      </w:pPr>
      <w:r>
        <w:t xml:space="preserve">The Legal Ops Specialist will create a structured folder system within Microsoft 365 (e.g., SharePoint or Teams) to store all audit evidence. Categorize documents logically, mirroring the audit request where possible. Ensure appropriate access controls are set for the audit team and auditors.</w:t>
      </w:r>
    </w:p>
    <w:p>
      <w:pPr>
        <w:pStyle w:val="ListParagraph"/>
        <w:numPr>
          <w:ilvl w:val="1"/>
          <w:numId w:val="1"/>
        </w:numPr>
        <w:spacing w:after="40"/>
      </w:pPr>
      <w:r>
        <w:t xml:space="preserve">Name folders clearly (e.g., 'Section 1: Claims Handling Procedures', 'Section 2: Producer Licensing').</w:t>
      </w:r>
    </w:p>
    <w:p>
      <w:pPr>
        <w:pStyle w:val="ListParagraph"/>
        <w:numPr>
          <w:ilvl w:val="1"/>
          <w:numId w:val="1"/>
        </w:numPr>
        <w:spacing w:after="40"/>
      </w:pPr>
      <w:r>
        <w:t xml:space="preserve">Convert all documents to PDF format for consistency and to prevent unauthorized edits.</w:t>
      </w:r>
    </w:p>
    <w:p>
      <w:pPr>
        <w:pStyle w:val="ListParagraph"/>
        <w:numPr>
          <w:ilvl w:val="1"/>
          <w:numId w:val="1"/>
        </w:numPr>
        <w:spacing w:after="40"/>
      </w:pPr>
      <w:r>
        <w:t xml:space="preserve">Verify all files are searchable and correctly indexed.</w:t>
      </w:r>
    </w:p>
    <w:p>
      <w:pPr>
        <w:spacing w:after="100"/>
      </w:pPr>
      <w:r>
        <w:rPr>
          <w:i/>
          <w:iCs/>
          <w:color w:val="B45309"/>
        </w:rPr>
        <w:t xml:space="preserve">Warning: Never store sensitive audit data on local drives. Always use approved, secure cloud storage with version control.</w:t>
      </w:r>
    </w:p>
    <w:p>
      <w:pPr>
        <w:pStyle w:val="Heading3"/>
        <w:spacing w:after="40" w:before="160"/>
      </w:pPr>
      <w:r>
        <w:t xml:space="preserve">Step 5: Execute Mock Audit and Interview Preparation</w:t>
      </w:r>
    </w:p>
    <w:p>
      <w:pPr>
        <w:spacing w:after="100"/>
      </w:pPr>
      <w:r>
        <w:t xml:space="preserve">Before the actual audit, conduct an internal mock audit. The Compliance Officer will simulate auditor questions and review the organized evidence. Prepare key personnel (e.g., Claims Manager, Underwriting Manager) for potential interviews, focusing on clear, factual responses directly related to their insurance operations.</w:t>
      </w:r>
    </w:p>
    <w:p>
      <w:pPr>
        <w:spacing w:after="100"/>
      </w:pPr>
      <w:r>
        <w:rPr>
          <w:i/>
          <w:iCs/>
          <w:color w:val="1F7A4D"/>
        </w:rPr>
        <w:t xml:space="preserve">Tip: Focus interview preparation on how our processes in Guidewire or Applied Epic demonstrate compliance with specific state regulations.</w:t>
      </w:r>
    </w:p>
    <w:p>
      <w:pPr>
        <w:pStyle w:val="Heading3"/>
        <w:spacing w:after="40" w:before="160"/>
      </w:pPr>
      <w:r>
        <w:t xml:space="preserve">Step 6: Address Identified Gaps and Document Remediation</w:t>
      </w:r>
    </w:p>
    <w:p>
      <w:pPr>
        <w:spacing w:after="100"/>
      </w:pPr>
      <w:r>
        <w:t xml:space="preserve">Based on the gap analysis and mock audit findings, the Compliance Officer will initiate immediate remediation actions for any identified non-compliance issues. Document all corrective actions taken, including updated policies, training provided, or system adjustments made in Guidewire or Applied Epic.</w:t>
      </w:r>
    </w:p>
    <w:p>
      <w:pPr>
        <w:spacing w:after="100"/>
      </w:pPr>
      <w:r>
        <w:rPr>
          <w:i/>
          <w:iCs/>
          <w:color w:val="B45309"/>
        </w:rPr>
        <w:t xml:space="preserve">Warning: Even if a gap cannot be fully closed before the audit, document the steps taken and the plan for full resolution. This demonstrates good faith to auditors.</w:t>
      </w:r>
    </w:p>
    <w:p>
      <w:pPr>
        <w:pStyle w:val="Heading2"/>
        <w:spacing w:after="100" w:before="240"/>
      </w:pPr>
      <w:r>
        <w:t xml:space="preserve">Completion Checklist</w:t>
      </w:r>
    </w:p>
    <w:p>
      <w:pPr>
        <w:spacing w:after="40"/>
      </w:pPr>
      <w:r>
        <w:t xml:space="preserve">☐  Audit notification reviewed and scope documented.</w:t>
      </w:r>
    </w:p>
    <w:p>
      <w:pPr>
        <w:spacing w:after="40"/>
      </w:pPr>
      <w:r>
        <w:t xml:space="preserve">☐  All requested claims files from Guidewire retrieved and verified.</w:t>
      </w:r>
    </w:p>
    <w:p>
      <w:pPr>
        <w:spacing w:after="40"/>
      </w:pPr>
      <w:r>
        <w:t xml:space="preserve">☐  Underwriting guidelines and policy forms from Applied Epic are current and approved.</w:t>
      </w:r>
    </w:p>
    <w:p>
      <w:pPr>
        <w:spacing w:after="40"/>
      </w:pPr>
      <w:r>
        <w:t xml:space="preserve">☐  Producer licensing and appointment records confirmed accurate.</w:t>
      </w:r>
    </w:p>
    <w:p>
      <w:pPr>
        <w:spacing w:after="40"/>
      </w:pPr>
      <w:r>
        <w:t xml:space="preserve">☐  Gap analysis completed against relevant state insurance regulations and NAIC guidelines.</w:t>
      </w:r>
    </w:p>
    <w:p>
      <w:pPr>
        <w:spacing w:after="40"/>
      </w:pPr>
      <w:r>
        <w:t xml:space="preserve">☐  All audit evidence organized and secured in Microsoft 365.</w:t>
      </w:r>
    </w:p>
    <w:p>
      <w:pPr>
        <w:spacing w:after="40"/>
      </w:pPr>
      <w:r>
        <w:t xml:space="preserve">☐  Access permissions for audit evidence repository verified.</w:t>
      </w:r>
    </w:p>
    <w:p>
      <w:pPr>
        <w:spacing w:after="40"/>
      </w:pPr>
      <w:r>
        <w:t xml:space="preserve">☐  Key personnel briefed and prepared for auditor interviews.</w:t>
      </w:r>
    </w:p>
    <w:p>
      <w:pPr>
        <w:spacing w:after="40"/>
      </w:pPr>
      <w:r>
        <w:t xml:space="preserve">☐  Mock audit conducted and findings addressed.</w:t>
      </w:r>
    </w:p>
    <w:p>
      <w:pPr>
        <w:spacing w:after="40"/>
      </w:pPr>
      <w:r>
        <w:t xml:space="preserve">☐  Remediation plans for significant gaps documented.</w:t>
      </w:r>
    </w:p>
    <w:p>
      <w:pPr>
        <w:spacing w:after="40"/>
      </w:pPr>
      <w:r>
        <w:t xml:space="preserve">☐  Contact list for internal subject matter experts prepared.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Percentage of audit requests fulfilled within 5 business days</w:t>
            </w:r>
          </w:p>
        </w:tc>
        <w:tc>
          <w:tcPr>
            <w:tcMar>
              <w:top w:type="dxa" w:w="60"/>
              <w:left w:type="dxa" w:w="120"/>
              <w:bottom w:type="dxa" w:w="60"/>
              <w:right w:type="dxa" w:w="120"/>
            </w:tcMar>
          </w:tcPr>
          <w:p>
            <w:r>
              <w:rPr>
                <w:b w:val="false"/>
                <w:bCs w:val="false"/>
              </w:rPr>
              <w:t xml:space="preserve">95%</w:t>
            </w:r>
          </w:p>
        </w:tc>
      </w:tr>
      <w:tr>
        <w:trPr>
          <w:tblHeader w:val="false"/>
        </w:trPr>
        <w:tc>
          <w:tcPr>
            <w:tcMar>
              <w:top w:type="dxa" w:w="60"/>
              <w:left w:type="dxa" w:w="120"/>
              <w:bottom w:type="dxa" w:w="60"/>
              <w:right w:type="dxa" w:w="120"/>
            </w:tcMar>
          </w:tcPr>
          <w:p>
            <w:r>
              <w:rPr>
                <w:b w:val="false"/>
                <w:bCs w:val="false"/>
              </w:rPr>
              <w:t xml:space="preserve">Number of high-severity audit findings</w:t>
            </w:r>
          </w:p>
        </w:tc>
        <w:tc>
          <w:tcPr>
            <w:tcMar>
              <w:top w:type="dxa" w:w="60"/>
              <w:left w:type="dxa" w:w="120"/>
              <w:bottom w:type="dxa" w:w="60"/>
              <w:right w:type="dxa" w:w="120"/>
            </w:tcMar>
          </w:tcPr>
          <w:p>
            <w:r>
              <w:rPr>
                <w:b w:val="false"/>
                <w:bCs w:val="false"/>
              </w:rPr>
              <w:t xml:space="preserve">Zero</w:t>
            </w:r>
          </w:p>
        </w:tc>
      </w:tr>
      <w:tr>
        <w:trPr>
          <w:tblHeader w:val="false"/>
        </w:trPr>
        <w:tc>
          <w:tcPr>
            <w:tcMar>
              <w:top w:type="dxa" w:w="60"/>
              <w:left w:type="dxa" w:w="120"/>
              <w:bottom w:type="dxa" w:w="60"/>
              <w:right w:type="dxa" w:w="120"/>
            </w:tcMar>
          </w:tcPr>
          <w:p>
            <w:r>
              <w:rPr>
                <w:b w:val="false"/>
                <w:bCs w:val="false"/>
              </w:rPr>
              <w:t xml:space="preserve">Average time to retrieve specific policy or claims data from Guidewire/Applied Epic</w:t>
            </w:r>
          </w:p>
        </w:tc>
        <w:tc>
          <w:tcPr>
            <w:tcMar>
              <w:top w:type="dxa" w:w="60"/>
              <w:left w:type="dxa" w:w="120"/>
              <w:bottom w:type="dxa" w:w="60"/>
              <w:right w:type="dxa" w:w="120"/>
            </w:tcMar>
          </w:tcPr>
          <w:p>
            <w:r>
              <w:rPr>
                <w:b w:val="false"/>
                <w:bCs w:val="false"/>
              </w:rPr>
              <w:t xml:space="preserve">Under 15 minutes</w:t>
            </w:r>
          </w:p>
        </w:tc>
      </w:tr>
      <w:tr>
        <w:trPr>
          <w:tblHeader w:val="false"/>
        </w:trPr>
        <w:tc>
          <w:tcPr>
            <w:tcMar>
              <w:top w:type="dxa" w:w="60"/>
              <w:left w:type="dxa" w:w="120"/>
              <w:bottom w:type="dxa" w:w="60"/>
              <w:right w:type="dxa" w:w="120"/>
            </w:tcMar>
          </w:tcPr>
          <w:p>
            <w:r>
              <w:rPr>
                <w:b w:val="false"/>
                <w:bCs w:val="false"/>
              </w:rPr>
              <w:t xml:space="preserve">Percentage of identified gaps remediated before audit commencement</w:t>
            </w:r>
          </w:p>
        </w:tc>
        <w:tc>
          <w:tcPr>
            <w:tcMar>
              <w:top w:type="dxa" w:w="60"/>
              <w:left w:type="dxa" w:w="120"/>
              <w:bottom w:type="dxa" w:w="60"/>
              <w:right w:type="dxa" w:w="120"/>
            </w:tcMar>
          </w:tcPr>
          <w:p>
            <w:r>
              <w:rPr>
                <w:b w:val="false"/>
                <w:bCs w:val="false"/>
              </w:rPr>
              <w:t xml:space="preserve">80%</w:t>
            </w:r>
          </w:p>
        </w:tc>
      </w:tr>
    </w:tbl>
    <w:p>
      <w:pPr>
        <w:pStyle w:val="Heading2"/>
        <w:spacing w:after="100" w:before="240"/>
      </w:pPr>
      <w:r>
        <w:t xml:space="preserve">Revision Schedule</w:t>
      </w:r>
    </w:p>
    <w:p>
      <w:pPr>
        <w:spacing w:after="100"/>
      </w:pPr>
      <w:r>
        <w:t xml:space="preserve">Annually, or upon significant changes to state insurance regulations, NAIC guidelines, or internal insurance operational procedures.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Compliance Audit Preparation Standard Operating Procedure Template</dc:title>
  <dc:creator>Glyde</dc:creator>
  <dc:description>Free compliance audit preparation SOP template designed for Insurance Compliance &amp; Legal teams. Includes step-by-step procedures, checklist, roles, and KPIs.</dc:description>
  <cp:lastModifiedBy>Un-named</cp:lastModifiedBy>
  <cp:revision>1</cp:revision>
  <dcterms:created xsi:type="dcterms:W3CDTF">2026-07-22T08:34:35.277Z</dcterms:created>
  <dcterms:modified xsi:type="dcterms:W3CDTF">2026-07-22T08:34:35.277Z</dcterms:modified>
</cp:coreProperties>
</file>

<file path=docProps/custom.xml><?xml version="1.0" encoding="utf-8"?>
<Properties xmlns="http://schemas.openxmlformats.org/officeDocument/2006/custom-properties" xmlns:vt="http://schemas.openxmlformats.org/officeDocument/2006/docPropsVTypes"/>
</file>