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Compliance Audit Preparation SOP Template for Legal Teams</w:t>
      </w:r>
    </w:p>
    <w:p>
      <w:pPr>
        <w:spacing w:after="200"/>
      </w:pPr>
      <w:r>
        <w:rPr>
          <w:i/>
          <w:iCs/>
          <w:color w:val="6B7280"/>
        </w:rPr>
        <w:t xml:space="preserve">Free compliance audit SOP template for law firms. Covers document gathering, gap analysis, and bar association audit readiness.</w:t>
      </w:r>
    </w:p>
    <w:p>
      <w:pPr>
        <w:pStyle w:val="Heading2"/>
        <w:spacing w:after="100" w:before="240"/>
      </w:pPr>
      <w:r>
        <w:t xml:space="preserve">Purpose</w:t>
      </w:r>
    </w:p>
    <w:p>
      <w:pPr>
        <w:spacing w:after="100"/>
      </w:pPr>
      <w:r>
        <w:t xml:space="preserve">Prepare the firm for bar association audits, trust account reviews, and internal compliance checks so that documentation is organized before the auditor arrives. Firms that scramble to assemble records during an audit waste billable hours and risk findings that could have been prevented with advance preparation.</w:t>
      </w:r>
    </w:p>
    <w:p>
      <w:pPr>
        <w:pStyle w:val="Heading2"/>
        <w:spacing w:after="100" w:before="240"/>
      </w:pPr>
      <w:r>
        <w:t xml:space="preserve">Scope</w:t>
      </w:r>
    </w:p>
    <w:p>
      <w:pPr>
        <w:spacing w:after="100"/>
      </w:pPr>
      <w:r>
        <w:t xml:space="preserve">Covers preparation for trust account audits, bar association compliance reviews, and internal risk assessments. Does not cover tax audits, insurance audits, or client-facing regulatory compliance work performed on behalf of clients.</w:t>
      </w:r>
    </w:p>
    <w:p>
      <w:pPr>
        <w:pStyle w:val="Heading2"/>
        <w:spacing w:after="100" w:before="240"/>
      </w:pPr>
      <w:r>
        <w:t xml:space="preserve">Prerequisites</w:t>
      </w:r>
    </w:p>
    <w:p>
      <w:pPr>
        <w:pStyle w:val="ListParagraph"/>
        <w:numPr>
          <w:ilvl w:val="0"/>
          <w:numId w:val="1"/>
        </w:numPr>
        <w:spacing w:after="40"/>
      </w:pPr>
      <w:r>
        <w:t xml:space="preserve">Clio trust accounting module reconciled through the prior month</w:t>
      </w:r>
    </w:p>
    <w:p>
      <w:pPr>
        <w:pStyle w:val="ListParagraph"/>
        <w:numPr>
          <w:ilvl w:val="0"/>
          <w:numId w:val="1"/>
        </w:numPr>
        <w:spacing w:after="40"/>
      </w:pPr>
      <w:r>
        <w:t xml:space="preserve">All attorney bar registration and CLE records current in Microsoft 365 shared folder</w:t>
      </w:r>
    </w:p>
    <w:p>
      <w:pPr>
        <w:pStyle w:val="ListParagraph"/>
        <w:numPr>
          <w:ilvl w:val="0"/>
          <w:numId w:val="1"/>
        </w:numPr>
        <w:spacing w:after="40"/>
      </w:pPr>
      <w:r>
        <w:t xml:space="preserve">Engagement letter files accessible in NetDocuments for all active matters</w:t>
      </w:r>
    </w:p>
    <w:p>
      <w:pPr>
        <w:pStyle w:val="ListParagraph"/>
        <w:numPr>
          <w:ilvl w:val="0"/>
          <w:numId w:val="1"/>
        </w:numPr>
        <w:spacing w:after="40"/>
      </w:pPr>
      <w:r>
        <w:t xml:space="preserve">Prior audit findings and remediation documentation available</w:t>
      </w:r>
    </w:p>
    <w:p>
      <w:pPr>
        <w:pStyle w:val="ListParagraph"/>
        <w:numPr>
          <w:ilvl w:val="0"/>
          <w:numId w:val="1"/>
        </w:numPr>
        <w:spacing w:after="40"/>
      </w:pPr>
      <w:r>
        <w:t xml:space="preserve">Managing partner designated as audit liaison</w:t>
      </w:r>
    </w:p>
    <w:p>
      <w:pPr>
        <w:pStyle w:val="Heading2"/>
        <w:spacing w:after="100" w:before="240"/>
      </w:pPr>
      <w:r>
        <w:t xml:space="preserve">Roles &amp; Responsibilities</w:t>
      </w:r>
    </w:p>
    <w:p>
      <w:pPr>
        <w:spacing w:after="40" w:before="120"/>
      </w:pPr>
      <w:r>
        <w:rPr>
          <w:b/>
          <w:bCs/>
        </w:rPr>
        <w:t xml:space="preserve">Compliance Specialist</w:t>
      </w:r>
    </w:p>
    <w:p>
      <w:pPr>
        <w:pStyle w:val="ListParagraph"/>
        <w:numPr>
          <w:ilvl w:val="0"/>
          <w:numId w:val="1"/>
        </w:numPr>
        <w:spacing w:after="40"/>
      </w:pPr>
      <w:r>
        <w:t xml:space="preserve">Build the audit preparation checklist 60 days before the expected audit window</w:t>
      </w:r>
    </w:p>
    <w:p>
      <w:pPr>
        <w:pStyle w:val="ListParagraph"/>
        <w:numPr>
          <w:ilvl w:val="0"/>
          <w:numId w:val="1"/>
        </w:numPr>
        <w:spacing w:after="40"/>
      </w:pPr>
      <w:r>
        <w:t xml:space="preserve">Gather and organize all required documentation in NetDocuments</w:t>
      </w:r>
    </w:p>
    <w:p>
      <w:pPr>
        <w:pStyle w:val="ListParagraph"/>
        <w:numPr>
          <w:ilvl w:val="0"/>
          <w:numId w:val="1"/>
        </w:numPr>
        <w:spacing w:after="40"/>
      </w:pPr>
      <w:r>
        <w:t xml:space="preserve">Conduct the internal pre-audit review and document gaps</w:t>
      </w:r>
    </w:p>
    <w:p>
      <w:pPr>
        <w:spacing w:after="40" w:before="120"/>
      </w:pPr>
      <w:r>
        <w:rPr>
          <w:b/>
          <w:bCs/>
        </w:rPr>
        <w:t xml:space="preserve">Managing Partner</w:t>
      </w:r>
    </w:p>
    <w:p>
      <w:pPr>
        <w:pStyle w:val="ListParagraph"/>
        <w:numPr>
          <w:ilvl w:val="0"/>
          <w:numId w:val="1"/>
        </w:numPr>
        <w:spacing w:after="40"/>
      </w:pPr>
      <w:r>
        <w:t xml:space="preserve">Serve as primary audit liaison with the bar association or auditor</w:t>
      </w:r>
    </w:p>
    <w:p>
      <w:pPr>
        <w:pStyle w:val="ListParagraph"/>
        <w:numPr>
          <w:ilvl w:val="0"/>
          <w:numId w:val="1"/>
        </w:numPr>
        <w:spacing w:after="40"/>
      </w:pPr>
      <w:r>
        <w:t xml:space="preserve">Review and sign off on the pre-audit readiness report</w:t>
      </w:r>
    </w:p>
    <w:p>
      <w:pPr>
        <w:pStyle w:val="ListParagraph"/>
        <w:numPr>
          <w:ilvl w:val="0"/>
          <w:numId w:val="1"/>
        </w:numPr>
        <w:spacing w:after="40"/>
      </w:pPr>
      <w:r>
        <w:t xml:space="preserve">Approve any remediation actions before the audit date</w:t>
      </w:r>
    </w:p>
    <w:p>
      <w:pPr>
        <w:spacing w:after="40" w:before="120"/>
      </w:pPr>
      <w:r>
        <w:rPr>
          <w:b/>
          <w:bCs/>
        </w:rPr>
        <w:t xml:space="preserve">Office Manager</w:t>
      </w:r>
    </w:p>
    <w:p>
      <w:pPr>
        <w:pStyle w:val="ListParagraph"/>
        <w:numPr>
          <w:ilvl w:val="0"/>
          <w:numId w:val="1"/>
        </w:numPr>
        <w:spacing w:after="40"/>
      </w:pPr>
      <w:r>
        <w:t xml:space="preserve">Pull trust account reconciliation reports from Clio for the audit period</w:t>
      </w:r>
    </w:p>
    <w:p>
      <w:pPr>
        <w:pStyle w:val="ListParagraph"/>
        <w:numPr>
          <w:ilvl w:val="0"/>
          <w:numId w:val="1"/>
        </w:numPr>
        <w:spacing w:after="40"/>
      </w:pPr>
      <w:r>
        <w:t xml:space="preserve">Compile CLE compliance records for all attorneys</w:t>
      </w:r>
    </w:p>
    <w:p>
      <w:pPr>
        <w:pStyle w:val="ListParagraph"/>
        <w:numPr>
          <w:ilvl w:val="0"/>
          <w:numId w:val="1"/>
        </w:numPr>
        <w:spacing w:after="40"/>
      </w:pPr>
      <w:r>
        <w:t xml:space="preserve">Coordinate logistics for on-site audit visits</w:t>
      </w:r>
    </w:p>
    <w:p>
      <w:pPr>
        <w:pStyle w:val="Heading2"/>
        <w:spacing w:after="100" w:before="240"/>
      </w:pPr>
      <w:r>
        <w:t xml:space="preserve">Procedure</w:t>
      </w:r>
    </w:p>
    <w:p>
      <w:pPr>
        <w:pStyle w:val="Heading3"/>
        <w:spacing w:after="40" w:before="160"/>
      </w:pPr>
      <w:r>
        <w:t xml:space="preserve">Step 1: Identify the audit scope and timeline</w:t>
      </w:r>
    </w:p>
    <w:p>
      <w:pPr>
        <w:spacing w:after="100"/>
      </w:pPr>
      <w:r>
        <w:t xml:space="preserve">When notice of an upcoming audit arrives (or 60 days before the firm's scheduled internal review), determine what the audit covers: trust account handling, CLE compliance, client file management, or all three. Set the preparation deadline at least 2 weeks before the audit date.</w:t>
      </w:r>
    </w:p>
    <w:p>
      <w:pPr>
        <w:pStyle w:val="ListParagraph"/>
        <w:numPr>
          <w:ilvl w:val="1"/>
          <w:numId w:val="1"/>
        </w:numPr>
        <w:spacing w:after="40"/>
      </w:pPr>
      <w:r>
        <w:t xml:space="preserve">Review the audit notice or internal schedule for scope details</w:t>
      </w:r>
    </w:p>
    <w:p>
      <w:pPr>
        <w:pStyle w:val="ListParagraph"/>
        <w:numPr>
          <w:ilvl w:val="1"/>
          <w:numId w:val="1"/>
        </w:numPr>
        <w:spacing w:after="40"/>
      </w:pPr>
      <w:r>
        <w:t xml:space="preserve">Identify the audit period (e.g., January 2025 through December 2025)</w:t>
      </w:r>
    </w:p>
    <w:p>
      <w:pPr>
        <w:pStyle w:val="ListParagraph"/>
        <w:numPr>
          <w:ilvl w:val="1"/>
          <w:numId w:val="1"/>
        </w:numPr>
        <w:spacing w:after="40"/>
      </w:pPr>
      <w:r>
        <w:t xml:space="preserve">Create a preparation timeline working backward from the audit date</w:t>
      </w:r>
    </w:p>
    <w:p>
      <w:pPr>
        <w:pStyle w:val="ListParagraph"/>
        <w:numPr>
          <w:ilvl w:val="1"/>
          <w:numId w:val="1"/>
        </w:numPr>
        <w:spacing w:after="40"/>
      </w:pPr>
      <w:r>
        <w:t xml:space="preserve">Notify all attorneys and staff of the upcoming audit and documentation requests</w:t>
      </w:r>
    </w:p>
    <w:p>
      <w:pPr>
        <w:pStyle w:val="Heading3"/>
        <w:spacing w:after="40" w:before="160"/>
      </w:pPr>
      <w:r>
        <w:t xml:space="preserve">Step 2: Reconcile trust accounts for the audit period</w:t>
      </w:r>
    </w:p>
    <w:p>
      <w:pPr>
        <w:spacing w:after="100"/>
      </w:pPr>
      <w:r>
        <w:t xml:space="preserve">Open Clio's trust accounting module and run reconciliation reports for every month in the audit period. Verify that each month's bank statement balance matches Clio's trust ledger. Flag any discrepancies and resolve them before the audit. Export the reconciliation reports as PDFs.</w:t>
      </w:r>
    </w:p>
    <w:p>
      <w:pPr>
        <w:pStyle w:val="ListParagraph"/>
        <w:numPr>
          <w:ilvl w:val="1"/>
          <w:numId w:val="1"/>
        </w:numPr>
        <w:spacing w:after="40"/>
      </w:pPr>
      <w:r>
        <w:t xml:space="preserve">In Clio, go to Accounting &gt; Trust &gt; Reconciliation</w:t>
      </w:r>
    </w:p>
    <w:p>
      <w:pPr>
        <w:pStyle w:val="ListParagraph"/>
        <w:numPr>
          <w:ilvl w:val="1"/>
          <w:numId w:val="1"/>
        </w:numPr>
        <w:spacing w:after="40"/>
      </w:pPr>
      <w:r>
        <w:t xml:space="preserve">Run reconciliation for each month in the audit period</w:t>
      </w:r>
    </w:p>
    <w:p>
      <w:pPr>
        <w:pStyle w:val="ListParagraph"/>
        <w:numPr>
          <w:ilvl w:val="1"/>
          <w:numId w:val="1"/>
        </w:numPr>
        <w:spacing w:after="40"/>
      </w:pPr>
      <w:r>
        <w:t xml:space="preserve">Investigate and document any discrepancies</w:t>
      </w:r>
    </w:p>
    <w:p>
      <w:pPr>
        <w:pStyle w:val="ListParagraph"/>
        <w:numPr>
          <w:ilvl w:val="1"/>
          <w:numId w:val="1"/>
        </w:numPr>
        <w:spacing w:after="40"/>
      </w:pPr>
      <w:r>
        <w:t xml:space="preserve">Export completed reconciliations as PDFs to the audit folder in NetDocuments</w:t>
      </w:r>
    </w:p>
    <w:p>
      <w:pPr>
        <w:spacing w:after="100"/>
      </w:pPr>
      <w:r>
        <w:rPr>
          <w:i/>
          <w:iCs/>
          <w:color w:val="B45309"/>
        </w:rPr>
        <w:t xml:space="preserve">Warning: Trust account discrepancies — even small ones — are the number one finding in bar audits. Resolve every variance before the auditor sees the records.</w:t>
      </w:r>
    </w:p>
    <w:p>
      <w:pPr>
        <w:pStyle w:val="Heading3"/>
        <w:spacing w:after="40" w:before="160"/>
      </w:pPr>
      <w:r>
        <w:t xml:space="preserve">Step 3: Compile attorney CLE and licensing records</w:t>
      </w:r>
    </w:p>
    <w:p>
      <w:pPr>
        <w:spacing w:after="100"/>
      </w:pPr>
      <w:r>
        <w:t xml:space="preserve">Collect current bar registration certificates, CLE completion records, and malpractice insurance certificates for every attorney. Check each attorney's CLE hours against their state bar's requirements for the audit period. Store everything in the audit folder in NetDocuments.</w:t>
      </w:r>
    </w:p>
    <w:p>
      <w:pPr>
        <w:pStyle w:val="ListParagraph"/>
        <w:numPr>
          <w:ilvl w:val="1"/>
          <w:numId w:val="1"/>
        </w:numPr>
        <w:spacing w:after="40"/>
      </w:pPr>
      <w:r>
        <w:t xml:space="preserve">Request current CLE transcripts from each attorney</w:t>
      </w:r>
    </w:p>
    <w:p>
      <w:pPr>
        <w:pStyle w:val="ListParagraph"/>
        <w:numPr>
          <w:ilvl w:val="1"/>
          <w:numId w:val="1"/>
        </w:numPr>
        <w:spacing w:after="40"/>
      </w:pPr>
      <w:r>
        <w:t xml:space="preserve">Verify hours against state bar requirements (most states require 12-24 hours per reporting period)</w:t>
      </w:r>
    </w:p>
    <w:p>
      <w:pPr>
        <w:pStyle w:val="ListParagraph"/>
        <w:numPr>
          <w:ilvl w:val="1"/>
          <w:numId w:val="1"/>
        </w:numPr>
        <w:spacing w:after="40"/>
      </w:pPr>
      <w:r>
        <w:t xml:space="preserve">Confirm malpractice insurance is current for all practicing attorneys</w:t>
      </w:r>
    </w:p>
    <w:p>
      <w:pPr>
        <w:pStyle w:val="ListParagraph"/>
        <w:numPr>
          <w:ilvl w:val="1"/>
          <w:numId w:val="1"/>
        </w:numPr>
        <w:spacing w:after="40"/>
      </w:pPr>
      <w:r>
        <w:t xml:space="preserve">Flag any attorneys with CLE deficiencies for immediate remediation</w:t>
      </w:r>
    </w:p>
    <w:p>
      <w:pPr>
        <w:pStyle w:val="Heading3"/>
        <w:spacing w:after="40" w:before="160"/>
      </w:pPr>
      <w:r>
        <w:t xml:space="preserve">Step 4: Review engagement letters and client files</w:t>
      </w:r>
    </w:p>
    <w:p>
      <w:pPr>
        <w:spacing w:after="100"/>
      </w:pPr>
      <w:r>
        <w:t xml:space="preserve">Sample 20% of active matters (or the percentage specified by the auditor) and verify that each has a signed engagement letter, documented conflict check, and proper fee arrangement on file. Pull these from NetDocuments and organize by practice area.</w:t>
      </w:r>
    </w:p>
    <w:p>
      <w:pPr>
        <w:spacing w:after="100"/>
      </w:pPr>
      <w:r>
        <w:rPr>
          <w:i/>
          <w:iCs/>
          <w:color w:val="1F7A4D"/>
        </w:rPr>
        <w:t xml:space="preserve">Tip: Start with the newest matters — auditors often focus on recent engagements because they reflect current practices rather than legacy ones.</w:t>
      </w:r>
    </w:p>
    <w:p>
      <w:pPr>
        <w:pStyle w:val="Heading3"/>
        <w:spacing w:after="40" w:before="160"/>
      </w:pPr>
      <w:r>
        <w:t xml:space="preserve">Step 5: Conduct the internal gap analysis</w:t>
      </w:r>
    </w:p>
    <w:p>
      <w:pPr>
        <w:spacing w:after="100"/>
      </w:pPr>
      <w:r>
        <w:t xml:space="preserve">Using the compiled documentation, compare what you have against the audit requirements checklist. Document every gap: missing engagement letters, unreconciled trust months, expired CLE credits, unsigned conflict check forms. Assign each gap to a responsible person with a remediation deadline at least 5 business days before the audit.</w:t>
      </w:r>
    </w:p>
    <w:p>
      <w:pPr>
        <w:pStyle w:val="ListParagraph"/>
        <w:numPr>
          <w:ilvl w:val="1"/>
          <w:numId w:val="1"/>
        </w:numPr>
        <w:spacing w:after="40"/>
      </w:pPr>
      <w:r>
        <w:t xml:space="preserve">Create a gap analysis spreadsheet with columns: requirement, status, gap description, owner, deadline</w:t>
      </w:r>
    </w:p>
    <w:p>
      <w:pPr>
        <w:pStyle w:val="ListParagraph"/>
        <w:numPr>
          <w:ilvl w:val="1"/>
          <w:numId w:val="1"/>
        </w:numPr>
        <w:spacing w:after="40"/>
      </w:pPr>
      <w:r>
        <w:t xml:space="preserve">Walk through each audit requirement systematically</w:t>
      </w:r>
    </w:p>
    <w:p>
      <w:pPr>
        <w:pStyle w:val="ListParagraph"/>
        <w:numPr>
          <w:ilvl w:val="1"/>
          <w:numId w:val="1"/>
        </w:numPr>
        <w:spacing w:after="40"/>
      </w:pPr>
      <w:r>
        <w:t xml:space="preserve">Prioritize trust account gaps (highest risk) above administrative gaps</w:t>
      </w:r>
    </w:p>
    <w:p>
      <w:pPr>
        <w:pStyle w:val="ListParagraph"/>
        <w:numPr>
          <w:ilvl w:val="1"/>
          <w:numId w:val="1"/>
        </w:numPr>
        <w:spacing w:after="40"/>
      </w:pPr>
      <w:r>
        <w:t xml:space="preserve">Share the gap report with the managing partner for review</w:t>
      </w:r>
    </w:p>
    <w:p>
      <w:pPr>
        <w:pStyle w:val="Heading3"/>
        <w:spacing w:after="40" w:before="160"/>
      </w:pPr>
      <w:r>
        <w:t xml:space="preserve">Step 6: Remediate identified gaps</w:t>
      </w:r>
    </w:p>
    <w:p>
      <w:pPr>
        <w:spacing w:after="100"/>
      </w:pPr>
      <w:r>
        <w:t xml:space="preserve">Each assigned person resolves their gaps by the deadline. Missing engagement letters require attorney outreach to the client for signature. Trust discrepancies require journal entries with documented explanations. CLE deficiencies require attorneys to complete courses before the audit date.</w:t>
      </w:r>
    </w:p>
    <w:p>
      <w:pPr>
        <w:spacing w:after="100"/>
      </w:pPr>
      <w:r>
        <w:rPr>
          <w:i/>
          <w:iCs/>
          <w:color w:val="B45309"/>
        </w:rPr>
        <w:t xml:space="preserve">Warning: Do not fabricate or backdate any documentation. Auditors check metadata. An honest gap with a documented remediation plan is far better than a falsified record.</w:t>
      </w:r>
    </w:p>
    <w:p>
      <w:pPr>
        <w:pStyle w:val="Heading3"/>
        <w:spacing w:after="40" w:before="160"/>
      </w:pPr>
      <w:r>
        <w:t xml:space="preserve">Step 7: Run the mock audit</w:t>
      </w:r>
    </w:p>
    <w:p>
      <w:pPr>
        <w:spacing w:after="100"/>
      </w:pPr>
      <w:r>
        <w:t xml:space="preserve">One week before the audit date, the compliance specialist walks through the full audit checklist as if they were the auditor. Pull every document the auditor will request and verify it's in the correct location in NetDocuments. Time the process — if it takes more than 2 hours to find everything, the organization needs work.</w:t>
      </w:r>
    </w:p>
    <w:p>
      <w:pPr>
        <w:pStyle w:val="ListParagraph"/>
        <w:numPr>
          <w:ilvl w:val="1"/>
          <w:numId w:val="1"/>
        </w:numPr>
        <w:spacing w:after="40"/>
      </w:pPr>
      <w:r>
        <w:t xml:space="preserve">Follow the auditor's checklist item by item</w:t>
      </w:r>
    </w:p>
    <w:p>
      <w:pPr>
        <w:pStyle w:val="ListParagraph"/>
        <w:numPr>
          <w:ilvl w:val="1"/>
          <w:numId w:val="1"/>
        </w:numPr>
        <w:spacing w:after="40"/>
      </w:pPr>
      <w:r>
        <w:t xml:space="preserve">Verify every document opens correctly and is the final version</w:t>
      </w:r>
    </w:p>
    <w:p>
      <w:pPr>
        <w:pStyle w:val="ListParagraph"/>
        <w:numPr>
          <w:ilvl w:val="1"/>
          <w:numId w:val="1"/>
        </w:numPr>
        <w:spacing w:after="40"/>
      </w:pPr>
      <w:r>
        <w:t xml:space="preserve">Test that trust account reports match the reconciled figures</w:t>
      </w:r>
    </w:p>
    <w:p>
      <w:pPr>
        <w:pStyle w:val="ListParagraph"/>
        <w:numPr>
          <w:ilvl w:val="1"/>
          <w:numId w:val="1"/>
        </w:numPr>
        <w:spacing w:after="40"/>
      </w:pPr>
      <w:r>
        <w:t xml:space="preserve">Document any remaining issues and fix them before audit day</w:t>
      </w:r>
    </w:p>
    <w:p>
      <w:pPr>
        <w:pStyle w:val="Heading3"/>
        <w:spacing w:after="40" w:before="160"/>
      </w:pPr>
      <w:r>
        <w:t xml:space="preserve">Step 8: Prepare for audit day logistics</w:t>
      </w:r>
    </w:p>
    <w:p>
      <w:pPr>
        <w:spacing w:after="100"/>
      </w:pPr>
      <w:r>
        <w:t xml:space="preserve">Confirm the audit date, auditor names, and any special access requirements. Set up a conference room or virtual workspace with all documentation pre-loaded. Brief the managing partner on any known findings so there are no surprises.</w:t>
      </w:r>
    </w:p>
    <w:p>
      <w:pPr>
        <w:pStyle w:val="ListParagraph"/>
        <w:numPr>
          <w:ilvl w:val="1"/>
          <w:numId w:val="1"/>
        </w:numPr>
        <w:spacing w:after="40"/>
      </w:pPr>
      <w:r>
        <w:t xml:space="preserve">Reserve conference room and test A/V equipment if virtual</w:t>
      </w:r>
    </w:p>
    <w:p>
      <w:pPr>
        <w:pStyle w:val="ListParagraph"/>
        <w:numPr>
          <w:ilvl w:val="1"/>
          <w:numId w:val="1"/>
        </w:numPr>
        <w:spacing w:after="40"/>
      </w:pPr>
      <w:r>
        <w:t xml:space="preserve">Pre-load all audit documentation on a laptop or shared screen</w:t>
      </w:r>
    </w:p>
    <w:p>
      <w:pPr>
        <w:pStyle w:val="ListParagraph"/>
        <w:numPr>
          <w:ilvl w:val="1"/>
          <w:numId w:val="1"/>
        </w:numPr>
        <w:spacing w:after="40"/>
      </w:pPr>
      <w:r>
        <w:t xml:space="preserve">Brief the managing partner on the gap analysis results and remediation status</w:t>
      </w:r>
    </w:p>
    <w:p>
      <w:pPr>
        <w:pStyle w:val="ListParagraph"/>
        <w:numPr>
          <w:ilvl w:val="1"/>
          <w:numId w:val="1"/>
        </w:numPr>
        <w:spacing w:after="40"/>
      </w:pPr>
      <w:r>
        <w:t xml:space="preserve">Prepare a list of staff available to answer auditor questions by topic</w:t>
      </w:r>
    </w:p>
    <w:p>
      <w:pPr>
        <w:pStyle w:val="Heading2"/>
        <w:spacing w:after="100" w:before="240"/>
      </w:pPr>
      <w:r>
        <w:t xml:space="preserve">Completion Checklist</w:t>
      </w:r>
    </w:p>
    <w:p>
      <w:pPr>
        <w:spacing w:after="40"/>
      </w:pPr>
      <w:r>
        <w:t xml:space="preserve">☐  Audit scope and timeline documented</w:t>
      </w:r>
    </w:p>
    <w:p>
      <w:pPr>
        <w:spacing w:after="40"/>
      </w:pPr>
      <w:r>
        <w:t xml:space="preserve">☐  Trust account reconciled for every month in the audit period</w:t>
      </w:r>
    </w:p>
    <w:p>
      <w:pPr>
        <w:spacing w:after="40"/>
      </w:pPr>
      <w:r>
        <w:t xml:space="preserve">☐  All trust discrepancies investigated and resolved</w:t>
      </w:r>
    </w:p>
    <w:p>
      <w:pPr>
        <w:spacing w:after="40"/>
      </w:pPr>
      <w:r>
        <w:t xml:space="preserve">☐  Attorney CLE records compiled and verified against requirements</w:t>
      </w:r>
    </w:p>
    <w:p>
      <w:pPr>
        <w:spacing w:after="40"/>
      </w:pPr>
      <w:r>
        <w:t xml:space="preserve">☐  Malpractice insurance certificates current for all attorneys</w:t>
      </w:r>
    </w:p>
    <w:p>
      <w:pPr>
        <w:spacing w:after="40"/>
      </w:pPr>
      <w:r>
        <w:t xml:space="preserve">☐  Engagement letter sample pulled and reviewed (20% of active matters)</w:t>
      </w:r>
    </w:p>
    <w:p>
      <w:pPr>
        <w:spacing w:after="40"/>
      </w:pPr>
      <w:r>
        <w:t xml:space="preserve">☐  Conflict check documentation verified for sampled matters</w:t>
      </w:r>
    </w:p>
    <w:p>
      <w:pPr>
        <w:spacing w:after="40"/>
      </w:pPr>
      <w:r>
        <w:t xml:space="preserve">☐  Gap analysis completed and shared with managing partner</w:t>
      </w:r>
    </w:p>
    <w:p>
      <w:pPr>
        <w:spacing w:after="40"/>
      </w:pPr>
      <w:r>
        <w:t xml:space="preserve">☐  All identified gaps remediated before audit date</w:t>
      </w:r>
    </w:p>
    <w:p>
      <w:pPr>
        <w:spacing w:after="40"/>
      </w:pPr>
      <w:r>
        <w:t xml:space="preserve">☐  Mock audit conducted within 1 week of actual audit</w:t>
      </w:r>
    </w:p>
    <w:p>
      <w:pPr>
        <w:spacing w:after="40"/>
      </w:pPr>
      <w:r>
        <w:t xml:space="preserve">☐  Audit day logistics confirmed (room, documents, personnel)</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Preparation start time</w:t>
            </w:r>
          </w:p>
        </w:tc>
        <w:tc>
          <w:tcPr>
            <w:tcMar>
              <w:top w:type="dxa" w:w="60"/>
              <w:left w:type="dxa" w:w="120"/>
              <w:bottom w:type="dxa" w:w="60"/>
              <w:right w:type="dxa" w:w="120"/>
            </w:tcMar>
          </w:tcPr>
          <w:p>
            <w:r>
              <w:rPr>
                <w:b w:val="false"/>
                <w:bCs w:val="false"/>
              </w:rPr>
              <w:t xml:space="preserve">At least 60 days before audit date</w:t>
            </w:r>
          </w:p>
        </w:tc>
      </w:tr>
      <w:tr>
        <w:trPr>
          <w:tblHeader w:val="false"/>
        </w:trPr>
        <w:tc>
          <w:tcPr>
            <w:tcMar>
              <w:top w:type="dxa" w:w="60"/>
              <w:left w:type="dxa" w:w="120"/>
              <w:bottom w:type="dxa" w:w="60"/>
              <w:right w:type="dxa" w:w="120"/>
            </w:tcMar>
          </w:tcPr>
          <w:p>
            <w:r>
              <w:rPr>
                <w:b w:val="false"/>
                <w:bCs w:val="false"/>
              </w:rPr>
              <w:t xml:space="preserve">Trust account reconciliation gaps</w:t>
            </w:r>
          </w:p>
        </w:tc>
        <w:tc>
          <w:tcPr>
            <w:tcMar>
              <w:top w:type="dxa" w:w="60"/>
              <w:left w:type="dxa" w:w="120"/>
              <w:bottom w:type="dxa" w:w="60"/>
              <w:right w:type="dxa" w:w="120"/>
            </w:tcMar>
          </w:tcPr>
          <w:p>
            <w:r>
              <w:rPr>
                <w:b w:val="false"/>
                <w:bCs w:val="false"/>
              </w:rPr>
              <w:t xml:space="preserve">Zero unresolved discrepancies by audit day</w:t>
            </w:r>
          </w:p>
        </w:tc>
      </w:tr>
      <w:tr>
        <w:trPr>
          <w:tblHeader w:val="false"/>
        </w:trPr>
        <w:tc>
          <w:tcPr>
            <w:tcMar>
              <w:top w:type="dxa" w:w="60"/>
              <w:left w:type="dxa" w:w="120"/>
              <w:bottom w:type="dxa" w:w="60"/>
              <w:right w:type="dxa" w:w="120"/>
            </w:tcMar>
          </w:tcPr>
          <w:p>
            <w:r>
              <w:rPr>
                <w:b w:val="false"/>
                <w:bCs w:val="false"/>
              </w:rPr>
              <w:t xml:space="preserve">Document retrieval time during mock audit</w:t>
            </w:r>
          </w:p>
        </w:tc>
        <w:tc>
          <w:tcPr>
            <w:tcMar>
              <w:top w:type="dxa" w:w="60"/>
              <w:left w:type="dxa" w:w="120"/>
              <w:bottom w:type="dxa" w:w="60"/>
              <w:right w:type="dxa" w:w="120"/>
            </w:tcMar>
          </w:tcPr>
          <w:p>
            <w:r>
              <w:rPr>
                <w:b w:val="false"/>
                <w:bCs w:val="false"/>
              </w:rPr>
              <w:t xml:space="preserve">Under 2 hours for complete document set</w:t>
            </w:r>
          </w:p>
        </w:tc>
      </w:tr>
      <w:tr>
        <w:trPr>
          <w:tblHeader w:val="false"/>
        </w:trPr>
        <w:tc>
          <w:tcPr>
            <w:tcMar>
              <w:top w:type="dxa" w:w="60"/>
              <w:left w:type="dxa" w:w="120"/>
              <w:bottom w:type="dxa" w:w="60"/>
              <w:right w:type="dxa" w:w="120"/>
            </w:tcMar>
          </w:tcPr>
          <w:p>
            <w:r>
              <w:rPr>
                <w:b w:val="false"/>
                <w:bCs w:val="false"/>
              </w:rPr>
              <w:t xml:space="preserve">Audit findings vs. prior year</w:t>
            </w:r>
          </w:p>
        </w:tc>
        <w:tc>
          <w:tcPr>
            <w:tcMar>
              <w:top w:type="dxa" w:w="60"/>
              <w:left w:type="dxa" w:w="120"/>
              <w:bottom w:type="dxa" w:w="60"/>
              <w:right w:type="dxa" w:w="120"/>
            </w:tcMar>
          </w:tcPr>
          <w:p>
            <w:r>
              <w:rPr>
                <w:b w:val="false"/>
                <w:bCs w:val="false"/>
              </w:rPr>
              <w:t xml:space="preserve">Fewer findings than previous audit cycle</w:t>
            </w:r>
          </w:p>
        </w:tc>
      </w:tr>
    </w:tbl>
    <w:p>
      <w:pPr>
        <w:pStyle w:val="Heading2"/>
        <w:spacing w:after="100" w:before="240"/>
      </w:pPr>
      <w:r>
        <w:t xml:space="preserve">Revision Schedule</w:t>
      </w:r>
    </w:p>
    <w:p>
      <w:pPr>
        <w:spacing w:after="100"/>
      </w:pPr>
      <w:r>
        <w:t xml:space="preserve">Annually after each audit cycle, or immediately after changes to state bar audit requirements.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Audit Preparation SOP Template for Legal Teams</dc:title>
  <dc:creator>Glyde</dc:creator>
  <dc:description>Free compliance audit SOP template for law firms. Covers document gathering, gap analysis, and bar association audit readiness.</dc:description>
  <cp:lastModifiedBy>Un-named</cp:lastModifiedBy>
  <cp:revision>1</cp:revision>
  <dcterms:created xsi:type="dcterms:W3CDTF">2026-07-22T08:34:35.286Z</dcterms:created>
  <dcterms:modified xsi:type="dcterms:W3CDTF">2026-07-22T08:34:35.286Z</dcterms:modified>
</cp:coreProperties>
</file>

<file path=docProps/custom.xml><?xml version="1.0" encoding="utf-8"?>
<Properties xmlns="http://schemas.openxmlformats.org/officeDocument/2006/custom-properties" xmlns:vt="http://schemas.openxmlformats.org/officeDocument/2006/docPropsVTypes"/>
</file>