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Nonprofit Compliance Audit Standard Operating Procedure Template</w:t>
      </w:r>
    </w:p>
    <w:p>
      <w:pPr>
        <w:spacing w:after="200"/>
      </w:pPr>
      <w:r>
        <w:rPr>
          <w:i/>
          <w:iCs/>
          <w:color w:val="6B7280"/>
        </w:rPr>
        <w:t xml:space="preserve">Free compliance audit SOP for nonprofits. Covers grant compliance, IRS reporting, and funder requirement verification.</w:t>
      </w:r>
    </w:p>
    <w:p>
      <w:pPr>
        <w:pStyle w:val="Heading2"/>
        <w:spacing w:after="100" w:before="240"/>
      </w:pPr>
      <w:r>
        <w:t xml:space="preserve">Purpose</w:t>
      </w:r>
    </w:p>
    <w:p>
      <w:pPr>
        <w:spacing w:after="100"/>
      </w:pPr>
      <w:r>
        <w:t xml:space="preserve">Verify the organization meets all federal, state, and funder compliance requirements before external auditors find what you missed. For nonprofits receiving $750,000+ in federal funds, a Single Audit is required — and findings can affect future funding eligibility.</w:t>
      </w:r>
    </w:p>
    <w:p>
      <w:pPr>
        <w:pStyle w:val="Heading2"/>
        <w:spacing w:after="100" w:before="240"/>
      </w:pPr>
      <w:r>
        <w:t xml:space="preserve">Scope</w:t>
      </w:r>
    </w:p>
    <w:p>
      <w:pPr>
        <w:spacing w:after="100"/>
      </w:pPr>
      <w:r>
        <w:t xml:space="preserve">Covers grant compliance, IRS reporting requirements, state charitable registration, board governance compliance, and funder-specific requirements. Does not cover financial statement preparation or programmatic evaluation.</w:t>
      </w:r>
    </w:p>
    <w:p>
      <w:pPr>
        <w:pStyle w:val="Heading2"/>
        <w:spacing w:after="100" w:before="240"/>
      </w:pPr>
      <w:r>
        <w:t xml:space="preserve">Prerequisites</w:t>
      </w:r>
    </w:p>
    <w:p>
      <w:pPr>
        <w:pStyle w:val="ListParagraph"/>
        <w:numPr>
          <w:ilvl w:val="0"/>
          <w:numId w:val="1"/>
        </w:numPr>
        <w:spacing w:after="40"/>
      </w:pPr>
      <w:r>
        <w:t xml:space="preserve">Chart of grants with compliance requirements for each award</w:t>
      </w:r>
    </w:p>
    <w:p>
      <w:pPr>
        <w:pStyle w:val="ListParagraph"/>
        <w:numPr>
          <w:ilvl w:val="0"/>
          <w:numId w:val="1"/>
        </w:numPr>
        <w:spacing w:after="40"/>
      </w:pPr>
      <w:r>
        <w:t xml:space="preserve">IRS determination letter and current Form 990 on file</w:t>
      </w:r>
    </w:p>
    <w:p>
      <w:pPr>
        <w:pStyle w:val="ListParagraph"/>
        <w:numPr>
          <w:ilvl w:val="0"/>
          <w:numId w:val="1"/>
        </w:numPr>
        <w:spacing w:after="40"/>
      </w:pPr>
      <w:r>
        <w:t xml:space="preserve">Board governance documents (bylaws, conflict of interest policy, whistleblower policy)</w:t>
      </w:r>
    </w:p>
    <w:p>
      <w:pPr>
        <w:pStyle w:val="ListParagraph"/>
        <w:numPr>
          <w:ilvl w:val="0"/>
          <w:numId w:val="1"/>
        </w:numPr>
        <w:spacing w:after="40"/>
      </w:pPr>
      <w:r>
        <w:t xml:space="preserve">State charitable registration records</w:t>
      </w:r>
    </w:p>
    <w:p>
      <w:pPr>
        <w:pStyle w:val="ListParagraph"/>
        <w:numPr>
          <w:ilvl w:val="0"/>
          <w:numId w:val="1"/>
        </w:numPr>
        <w:spacing w:after="40"/>
      </w:pPr>
      <w:r>
        <w:t xml:space="preserve">Prior audit reports and management letters</w:t>
      </w:r>
    </w:p>
    <w:p>
      <w:pPr>
        <w:pStyle w:val="Heading2"/>
        <w:spacing w:after="100" w:before="240"/>
      </w:pPr>
      <w:r>
        <w:t xml:space="preserve">Roles &amp; Responsibilities</w:t>
      </w:r>
    </w:p>
    <w:p>
      <w:pPr>
        <w:spacing w:after="40" w:before="120"/>
      </w:pPr>
      <w:r>
        <w:rPr>
          <w:b/>
          <w:bCs/>
        </w:rPr>
        <w:t xml:space="preserve">Finance Director</w:t>
      </w:r>
    </w:p>
    <w:p>
      <w:pPr>
        <w:pStyle w:val="ListParagraph"/>
        <w:numPr>
          <w:ilvl w:val="0"/>
          <w:numId w:val="1"/>
        </w:numPr>
        <w:spacing w:after="40"/>
      </w:pPr>
      <w:r>
        <w:t xml:space="preserve">Lead internal compliance audits quarterly</w:t>
      </w:r>
    </w:p>
    <w:p>
      <w:pPr>
        <w:pStyle w:val="ListParagraph"/>
        <w:numPr>
          <w:ilvl w:val="0"/>
          <w:numId w:val="1"/>
        </w:numPr>
        <w:spacing w:after="40"/>
      </w:pPr>
      <w:r>
        <w:t xml:space="preserve">Prepare for external Single Audit or financial audit</w:t>
      </w:r>
    </w:p>
    <w:p>
      <w:pPr>
        <w:pStyle w:val="ListParagraph"/>
        <w:numPr>
          <w:ilvl w:val="0"/>
          <w:numId w:val="1"/>
        </w:numPr>
        <w:spacing w:after="40"/>
      </w:pPr>
      <w:r>
        <w:t xml:space="preserve">Maintain grant compliance documentation</w:t>
      </w:r>
    </w:p>
    <w:p>
      <w:pPr>
        <w:spacing w:after="40" w:before="120"/>
      </w:pPr>
      <w:r>
        <w:rPr>
          <w:b/>
          <w:bCs/>
        </w:rPr>
        <w:t xml:space="preserve">Executive Director</w:t>
      </w:r>
    </w:p>
    <w:p>
      <w:pPr>
        <w:pStyle w:val="ListParagraph"/>
        <w:numPr>
          <w:ilvl w:val="0"/>
          <w:numId w:val="1"/>
        </w:numPr>
        <w:spacing w:after="40"/>
      </w:pPr>
      <w:r>
        <w:t xml:space="preserve">Certify compliance with board governance requirements</w:t>
      </w:r>
    </w:p>
    <w:p>
      <w:pPr>
        <w:pStyle w:val="ListParagraph"/>
        <w:numPr>
          <w:ilvl w:val="0"/>
          <w:numId w:val="1"/>
        </w:numPr>
        <w:spacing w:after="40"/>
      </w:pPr>
      <w:r>
        <w:t xml:space="preserve">Review and respond to audit findings</w:t>
      </w:r>
    </w:p>
    <w:p>
      <w:pPr>
        <w:pStyle w:val="ListParagraph"/>
        <w:numPr>
          <w:ilvl w:val="0"/>
          <w:numId w:val="1"/>
        </w:numPr>
        <w:spacing w:after="40"/>
      </w:pPr>
      <w:r>
        <w:t xml:space="preserve">Ensure corrective action plans are implemented</w:t>
      </w:r>
    </w:p>
    <w:p>
      <w:pPr>
        <w:spacing w:after="40" w:before="120"/>
      </w:pPr>
      <w:r>
        <w:rPr>
          <w:b/>
          <w:bCs/>
        </w:rPr>
        <w:t xml:space="preserve">Program Director</w:t>
      </w:r>
    </w:p>
    <w:p>
      <w:pPr>
        <w:pStyle w:val="ListParagraph"/>
        <w:numPr>
          <w:ilvl w:val="0"/>
          <w:numId w:val="1"/>
        </w:numPr>
        <w:spacing w:after="40"/>
      </w:pPr>
      <w:r>
        <w:t xml:space="preserve">Verify programmatic compliance with grant terms</w:t>
      </w:r>
    </w:p>
    <w:p>
      <w:pPr>
        <w:pStyle w:val="ListParagraph"/>
        <w:numPr>
          <w:ilvl w:val="0"/>
          <w:numId w:val="1"/>
        </w:numPr>
        <w:spacing w:after="40"/>
      </w:pPr>
      <w:r>
        <w:t xml:space="preserve">Maintain outcome data and participant records</w:t>
      </w:r>
    </w:p>
    <w:p>
      <w:pPr>
        <w:pStyle w:val="ListParagraph"/>
        <w:numPr>
          <w:ilvl w:val="0"/>
          <w:numId w:val="1"/>
        </w:numPr>
        <w:spacing w:after="40"/>
      </w:pPr>
      <w:r>
        <w:t xml:space="preserve">Prepare program sections of grant reports</w:t>
      </w:r>
    </w:p>
    <w:p>
      <w:pPr>
        <w:pStyle w:val="Heading2"/>
        <w:spacing w:after="100" w:before="240"/>
      </w:pPr>
      <w:r>
        <w:t xml:space="preserve">Procedure</w:t>
      </w:r>
    </w:p>
    <w:p>
      <w:pPr>
        <w:pStyle w:val="Heading3"/>
        <w:spacing w:after="40" w:before="160"/>
      </w:pPr>
      <w:r>
        <w:t xml:space="preserve">Step 1: Build the compliance requirements matrix</w:t>
      </w:r>
    </w:p>
    <w:p>
      <w:pPr>
        <w:spacing w:after="100"/>
      </w:pPr>
      <w:r>
        <w:t xml:space="preserve">Create a master document listing every compliance obligation: each grant's specific requirements, IRS filing deadlines, state registration renewals, insurance requirements, and board governance mandates. This matrix becomes the audit checklist. Update it whenever a new grant is received or requirements change.</w:t>
      </w:r>
    </w:p>
    <w:p>
      <w:pPr>
        <w:pStyle w:val="ListParagraph"/>
        <w:numPr>
          <w:ilvl w:val="1"/>
          <w:numId w:val="1"/>
        </w:numPr>
        <w:spacing w:after="40"/>
      </w:pPr>
      <w:r>
        <w:t xml:space="preserve">List all active grants with their specific compliance requirements</w:t>
      </w:r>
    </w:p>
    <w:p>
      <w:pPr>
        <w:pStyle w:val="ListParagraph"/>
        <w:numPr>
          <w:ilvl w:val="1"/>
          <w:numId w:val="1"/>
        </w:numPr>
        <w:spacing w:after="40"/>
      </w:pPr>
      <w:r>
        <w:t xml:space="preserve">Document IRS filing requirements (Form 990, 990-T, state equivalents)</w:t>
      </w:r>
    </w:p>
    <w:p>
      <w:pPr>
        <w:pStyle w:val="ListParagraph"/>
        <w:numPr>
          <w:ilvl w:val="1"/>
          <w:numId w:val="1"/>
        </w:numPr>
        <w:spacing w:after="40"/>
      </w:pPr>
      <w:r>
        <w:t xml:space="preserve">List state charitable registration and renewal deadlines</w:t>
      </w:r>
    </w:p>
    <w:p>
      <w:pPr>
        <w:pStyle w:val="ListParagraph"/>
        <w:numPr>
          <w:ilvl w:val="1"/>
          <w:numId w:val="1"/>
        </w:numPr>
        <w:spacing w:after="40"/>
      </w:pPr>
      <w:r>
        <w:t xml:space="preserve">Document insurance requirements (D&amp;O, general liability, workers comp)</w:t>
      </w:r>
    </w:p>
    <w:p>
      <w:pPr>
        <w:pStyle w:val="ListParagraph"/>
        <w:numPr>
          <w:ilvl w:val="1"/>
          <w:numId w:val="1"/>
        </w:numPr>
        <w:spacing w:after="40"/>
      </w:pPr>
      <w:r>
        <w:t xml:space="preserve">List board governance requirements (meetings, policies, disclosures)</w:t>
      </w:r>
    </w:p>
    <w:p>
      <w:pPr>
        <w:pStyle w:val="ListParagraph"/>
        <w:numPr>
          <w:ilvl w:val="1"/>
          <w:numId w:val="1"/>
        </w:numPr>
        <w:spacing w:after="40"/>
      </w:pPr>
      <w:r>
        <w:t xml:space="preserve">Record all compliance deadlines in a shared calendar</w:t>
      </w:r>
    </w:p>
    <w:p>
      <w:pPr>
        <w:pStyle w:val="Heading3"/>
        <w:spacing w:after="40" w:before="160"/>
      </w:pPr>
      <w:r>
        <w:t xml:space="preserve">Step 2: Audit grant compliance</w:t>
      </w:r>
    </w:p>
    <w:p>
      <w:pPr>
        <w:spacing w:after="100"/>
      </w:pPr>
      <w:r>
        <w:t xml:space="preserve">For each active grant, verify: time and effort reporting is accurate and current, expenses charged are allowable under the grant terms, cost allocation is consistent with the approved methodology, matching/cost-share requirements are being met, programmatic deliverables are on track, and reports have been submitted on time.</w:t>
      </w:r>
    </w:p>
    <w:p>
      <w:pPr>
        <w:pStyle w:val="ListParagraph"/>
        <w:numPr>
          <w:ilvl w:val="1"/>
          <w:numId w:val="1"/>
        </w:numPr>
        <w:spacing w:after="40"/>
      </w:pPr>
      <w:r>
        <w:t xml:space="preserve">Verify time and effort reports are current and accurate for all grant-funded staff</w:t>
      </w:r>
    </w:p>
    <w:p>
      <w:pPr>
        <w:pStyle w:val="ListParagraph"/>
        <w:numPr>
          <w:ilvl w:val="1"/>
          <w:numId w:val="1"/>
        </w:numPr>
        <w:spacing w:after="40"/>
      </w:pPr>
      <w:r>
        <w:t xml:space="preserve">Test a sample of expenses for allowability under grant terms</w:t>
      </w:r>
    </w:p>
    <w:p>
      <w:pPr>
        <w:pStyle w:val="ListParagraph"/>
        <w:numPr>
          <w:ilvl w:val="1"/>
          <w:numId w:val="1"/>
        </w:numPr>
        <w:spacing w:after="40"/>
      </w:pPr>
      <w:r>
        <w:t xml:space="preserve">Verify cost allocation methodology is applied consistently</w:t>
      </w:r>
    </w:p>
    <w:p>
      <w:pPr>
        <w:pStyle w:val="ListParagraph"/>
        <w:numPr>
          <w:ilvl w:val="1"/>
          <w:numId w:val="1"/>
        </w:numPr>
        <w:spacing w:after="40"/>
      </w:pPr>
      <w:r>
        <w:t xml:space="preserve">Confirm matching/cost-share requirements are documented and met</w:t>
      </w:r>
    </w:p>
    <w:p>
      <w:pPr>
        <w:pStyle w:val="ListParagraph"/>
        <w:numPr>
          <w:ilvl w:val="1"/>
          <w:numId w:val="1"/>
        </w:numPr>
        <w:spacing w:after="40"/>
      </w:pPr>
      <w:r>
        <w:t xml:space="preserve">Check that programmatic deliverables are on track</w:t>
      </w:r>
    </w:p>
    <w:p>
      <w:pPr>
        <w:pStyle w:val="ListParagraph"/>
        <w:numPr>
          <w:ilvl w:val="1"/>
          <w:numId w:val="1"/>
        </w:numPr>
        <w:spacing w:after="40"/>
      </w:pPr>
      <w:r>
        <w:t xml:space="preserve">Verify all grant reports were submitted by their deadlines</w:t>
      </w:r>
    </w:p>
    <w:p>
      <w:pPr>
        <w:spacing w:after="100"/>
      </w:pPr>
      <w:r>
        <w:rPr>
          <w:i/>
          <w:iCs/>
          <w:color w:val="B45309"/>
        </w:rPr>
        <w:t xml:space="preserve">Warning: Time and effort documentation is the #1 area for Single Audit findings. If grant-funded employees aren't tracking time accurately by funding source, fix this immediately — it's the finding most likely to result in disallowed costs.</w:t>
      </w:r>
    </w:p>
    <w:p>
      <w:pPr>
        <w:pStyle w:val="Heading3"/>
        <w:spacing w:after="40" w:before="160"/>
      </w:pPr>
      <w:r>
        <w:t xml:space="preserve">Step 3: Verify IRS and tax compliance</w:t>
      </w:r>
    </w:p>
    <w:p>
      <w:pPr>
        <w:spacing w:after="100"/>
      </w:pPr>
      <w:r>
        <w:t xml:space="preserve">Confirm the organization is meeting all IRS requirements for tax-exempt status: Form 990 filed by the deadline (or extension on file), unrelated business income properly reported, donor acknowledgment letters issued for contributions over $250, and no private benefit or inurement issues.</w:t>
      </w:r>
    </w:p>
    <w:p>
      <w:pPr>
        <w:pStyle w:val="ListParagraph"/>
        <w:numPr>
          <w:ilvl w:val="1"/>
          <w:numId w:val="1"/>
        </w:numPr>
        <w:spacing w:after="40"/>
      </w:pPr>
      <w:r>
        <w:t xml:space="preserve">Verify Form 990 was filed by the deadline or extension is on file</w:t>
      </w:r>
    </w:p>
    <w:p>
      <w:pPr>
        <w:pStyle w:val="ListParagraph"/>
        <w:numPr>
          <w:ilvl w:val="1"/>
          <w:numId w:val="1"/>
        </w:numPr>
        <w:spacing w:after="40"/>
      </w:pPr>
      <w:r>
        <w:t xml:space="preserve">Check for unrelated business income requiring Form 990-T</w:t>
      </w:r>
    </w:p>
    <w:p>
      <w:pPr>
        <w:pStyle w:val="ListParagraph"/>
        <w:numPr>
          <w:ilvl w:val="1"/>
          <w:numId w:val="1"/>
        </w:numPr>
        <w:spacing w:after="40"/>
      </w:pPr>
      <w:r>
        <w:t xml:space="preserve">Verify donor acknowledgment letters sent for all contributions over $250</w:t>
      </w:r>
    </w:p>
    <w:p>
      <w:pPr>
        <w:pStyle w:val="ListParagraph"/>
        <w:numPr>
          <w:ilvl w:val="1"/>
          <w:numId w:val="1"/>
        </w:numPr>
        <w:spacing w:after="40"/>
      </w:pPr>
      <w:r>
        <w:t xml:space="preserve">Review compensation to ensure no private inurement</w:t>
      </w:r>
    </w:p>
    <w:p>
      <w:pPr>
        <w:pStyle w:val="ListParagraph"/>
        <w:numPr>
          <w:ilvl w:val="1"/>
          <w:numId w:val="1"/>
        </w:numPr>
        <w:spacing w:after="40"/>
      </w:pPr>
      <w:r>
        <w:t xml:space="preserve">Confirm public support test is met (for 501(c)(3) public charities)</w:t>
      </w:r>
    </w:p>
    <w:p>
      <w:pPr>
        <w:pStyle w:val="Heading3"/>
        <w:spacing w:after="40" w:before="160"/>
      </w:pPr>
      <w:r>
        <w:t xml:space="preserve">Step 4: Review board governance compliance</w:t>
      </w:r>
    </w:p>
    <w:p>
      <w:pPr>
        <w:spacing w:after="100"/>
      </w:pPr>
      <w:r>
        <w:t xml:space="preserve">Verify the board is meeting its governance obligations: required number of meetings held, quorum achieved, conflicts of interest disclosed, financial statements reviewed, and required policies in place (conflict of interest, whistleblower, document retention, executive compensation).</w:t>
      </w:r>
    </w:p>
    <w:p>
      <w:pPr>
        <w:pStyle w:val="ListParagraph"/>
        <w:numPr>
          <w:ilvl w:val="1"/>
          <w:numId w:val="1"/>
        </w:numPr>
        <w:spacing w:after="40"/>
      </w:pPr>
      <w:r>
        <w:t xml:space="preserve">Verify the board met the minimum number of times required by bylaws</w:t>
      </w:r>
    </w:p>
    <w:p>
      <w:pPr>
        <w:pStyle w:val="ListParagraph"/>
        <w:numPr>
          <w:ilvl w:val="1"/>
          <w:numId w:val="1"/>
        </w:numPr>
        <w:spacing w:after="40"/>
      </w:pPr>
      <w:r>
        <w:t xml:space="preserve">Confirm quorum was present at each meeting and documented in minutes</w:t>
      </w:r>
    </w:p>
    <w:p>
      <w:pPr>
        <w:pStyle w:val="ListParagraph"/>
        <w:numPr>
          <w:ilvl w:val="1"/>
          <w:numId w:val="1"/>
        </w:numPr>
        <w:spacing w:after="40"/>
      </w:pPr>
      <w:r>
        <w:t xml:space="preserve">Check that annual conflict of interest disclosures are on file</w:t>
      </w:r>
    </w:p>
    <w:p>
      <w:pPr>
        <w:pStyle w:val="ListParagraph"/>
        <w:numPr>
          <w:ilvl w:val="1"/>
          <w:numId w:val="1"/>
        </w:numPr>
        <w:spacing w:after="40"/>
      </w:pPr>
      <w:r>
        <w:t xml:space="preserve">Verify the board reviewed and approved the annual budget</w:t>
      </w:r>
    </w:p>
    <w:p>
      <w:pPr>
        <w:pStyle w:val="ListParagraph"/>
        <w:numPr>
          <w:ilvl w:val="1"/>
          <w:numId w:val="1"/>
        </w:numPr>
        <w:spacing w:after="40"/>
      </w:pPr>
      <w:r>
        <w:t xml:space="preserve">Confirm required governance policies are current and board-approved</w:t>
      </w:r>
    </w:p>
    <w:p>
      <w:pPr>
        <w:pStyle w:val="Heading3"/>
        <w:spacing w:after="40" w:before="160"/>
      </w:pPr>
      <w:r>
        <w:t xml:space="preserve">Step 5: Check state compliance</w:t>
      </w:r>
    </w:p>
    <w:p>
      <w:pPr>
        <w:spacing w:after="100"/>
      </w:pPr>
      <w:r>
        <w:t xml:space="preserve">Verify the organization is registered and in good standing in every state where it solicits donations or operates programs. State requirements vary but typically include: charitable solicitation registration, annual report filings, and state tax exemption renewals.</w:t>
      </w:r>
    </w:p>
    <w:p>
      <w:pPr>
        <w:pStyle w:val="ListParagraph"/>
        <w:numPr>
          <w:ilvl w:val="1"/>
          <w:numId w:val="1"/>
        </w:numPr>
        <w:spacing w:after="40"/>
      </w:pPr>
      <w:r>
        <w:t xml:space="preserve">Verify charitable solicitation registrations are current in all required states</w:t>
      </w:r>
    </w:p>
    <w:p>
      <w:pPr>
        <w:pStyle w:val="ListParagraph"/>
        <w:numPr>
          <w:ilvl w:val="1"/>
          <w:numId w:val="1"/>
        </w:numPr>
        <w:spacing w:after="40"/>
      </w:pPr>
      <w:r>
        <w:t xml:space="preserve">Check that annual reports are filed with the state attorney general or secretary of state</w:t>
      </w:r>
    </w:p>
    <w:p>
      <w:pPr>
        <w:pStyle w:val="ListParagraph"/>
        <w:numPr>
          <w:ilvl w:val="1"/>
          <w:numId w:val="1"/>
        </w:numPr>
        <w:spacing w:after="40"/>
      </w:pPr>
      <w:r>
        <w:t xml:space="preserve">Confirm state tax exemptions are current</w:t>
      </w:r>
    </w:p>
    <w:p>
      <w:pPr>
        <w:pStyle w:val="ListParagraph"/>
        <w:numPr>
          <w:ilvl w:val="1"/>
          <w:numId w:val="1"/>
        </w:numPr>
        <w:spacing w:after="40"/>
      </w:pPr>
      <w:r>
        <w:t xml:space="preserve">Verify workers compensation and unemployment insurance are current</w:t>
      </w:r>
    </w:p>
    <w:p>
      <w:pPr>
        <w:pStyle w:val="ListParagraph"/>
        <w:numPr>
          <w:ilvl w:val="1"/>
          <w:numId w:val="1"/>
        </w:numPr>
        <w:spacing w:after="40"/>
      </w:pPr>
      <w:r>
        <w:t xml:space="preserve">Check any state-specific program licensing requirements</w:t>
      </w:r>
    </w:p>
    <w:p>
      <w:pPr>
        <w:pStyle w:val="Heading3"/>
        <w:spacing w:after="40" w:before="160"/>
      </w:pPr>
      <w:r>
        <w:t xml:space="preserve">Step 6: Document findings and implement corrections</w:t>
      </w:r>
    </w:p>
    <w:p>
      <w:pPr>
        <w:spacing w:after="100"/>
      </w:pPr>
      <w:r>
        <w:t xml:space="preserve">Document all compliance gaps found during the internal audit, classify by severity (critical, major, minor), assign corrective actions with deadlines, and track to closure. Present findings to the executive director and board finance/audit committee. Critical findings must be corrected before the external audit.</w:t>
      </w:r>
    </w:p>
    <w:p>
      <w:pPr>
        <w:pStyle w:val="ListParagraph"/>
        <w:numPr>
          <w:ilvl w:val="1"/>
          <w:numId w:val="1"/>
        </w:numPr>
        <w:spacing w:after="40"/>
      </w:pPr>
      <w:r>
        <w:t xml:space="preserve">Document all findings with severity classification</w:t>
      </w:r>
    </w:p>
    <w:p>
      <w:pPr>
        <w:pStyle w:val="ListParagraph"/>
        <w:numPr>
          <w:ilvl w:val="1"/>
          <w:numId w:val="1"/>
        </w:numPr>
        <w:spacing w:after="40"/>
      </w:pPr>
      <w:r>
        <w:t xml:space="preserve">Assign corrective actions with responsible parties and deadlines</w:t>
      </w:r>
    </w:p>
    <w:p>
      <w:pPr>
        <w:pStyle w:val="ListParagraph"/>
        <w:numPr>
          <w:ilvl w:val="1"/>
          <w:numId w:val="1"/>
        </w:numPr>
        <w:spacing w:after="40"/>
      </w:pPr>
      <w:r>
        <w:t xml:space="preserve">Present findings to the executive director</w:t>
      </w:r>
    </w:p>
    <w:p>
      <w:pPr>
        <w:pStyle w:val="ListParagraph"/>
        <w:numPr>
          <w:ilvl w:val="1"/>
          <w:numId w:val="1"/>
        </w:numPr>
        <w:spacing w:after="40"/>
      </w:pPr>
      <w:r>
        <w:t xml:space="preserve">Report to the board finance/audit committee</w:t>
      </w:r>
    </w:p>
    <w:p>
      <w:pPr>
        <w:pStyle w:val="ListParagraph"/>
        <w:numPr>
          <w:ilvl w:val="1"/>
          <w:numId w:val="1"/>
        </w:numPr>
        <w:spacing w:after="40"/>
      </w:pPr>
      <w:r>
        <w:t xml:space="preserve">Track corrective actions to completion</w:t>
      </w:r>
    </w:p>
    <w:p>
      <w:pPr>
        <w:pStyle w:val="ListParagraph"/>
        <w:numPr>
          <w:ilvl w:val="1"/>
          <w:numId w:val="1"/>
        </w:numPr>
        <w:spacing w:after="40"/>
      </w:pPr>
      <w:r>
        <w:t xml:space="preserve">Verify corrections are sustained in the next quarter's audit</w:t>
      </w:r>
    </w:p>
    <w:p>
      <w:pPr>
        <w:pStyle w:val="Heading2"/>
        <w:spacing w:after="100" w:before="240"/>
      </w:pPr>
      <w:r>
        <w:t xml:space="preserve">Completion Checklist</w:t>
      </w:r>
    </w:p>
    <w:p>
      <w:pPr>
        <w:spacing w:after="40"/>
      </w:pPr>
      <w:r>
        <w:t xml:space="preserve">☐  Compliance requirements matrix current for all active grants</w:t>
      </w:r>
    </w:p>
    <w:p>
      <w:pPr>
        <w:spacing w:after="40"/>
      </w:pPr>
      <w:r>
        <w:t xml:space="preserve">☐  Time and effort documentation current and accurate</w:t>
      </w:r>
    </w:p>
    <w:p>
      <w:pPr>
        <w:spacing w:after="40"/>
      </w:pPr>
      <w:r>
        <w:t xml:space="preserve">☐  Sample of grant expenses tested for allowability</w:t>
      </w:r>
    </w:p>
    <w:p>
      <w:pPr>
        <w:spacing w:after="40"/>
      </w:pPr>
      <w:r>
        <w:t xml:space="preserve">☐  Cost allocation methodology applied consistently</w:t>
      </w:r>
    </w:p>
    <w:p>
      <w:pPr>
        <w:spacing w:after="40"/>
      </w:pPr>
      <w:r>
        <w:t xml:space="preserve">☐  Matching/cost-share requirements documented and met</w:t>
      </w:r>
    </w:p>
    <w:p>
      <w:pPr>
        <w:spacing w:after="40"/>
      </w:pPr>
      <w:r>
        <w:t xml:space="preserve">☐  Grant reports submitted on time</w:t>
      </w:r>
    </w:p>
    <w:p>
      <w:pPr>
        <w:spacing w:after="40"/>
      </w:pPr>
      <w:r>
        <w:t xml:space="preserve">☐  Form 990 filed by deadline or extension on file</w:t>
      </w:r>
    </w:p>
    <w:p>
      <w:pPr>
        <w:spacing w:after="40"/>
      </w:pPr>
      <w:r>
        <w:t xml:space="preserve">☐  Donor acknowledgment letters issued for contributions over $250</w:t>
      </w:r>
    </w:p>
    <w:p>
      <w:pPr>
        <w:spacing w:after="40"/>
      </w:pPr>
      <w:r>
        <w:t xml:space="preserve">☐  Board meeting minutes document quorum and required actions</w:t>
      </w:r>
    </w:p>
    <w:p>
      <w:pPr>
        <w:spacing w:after="40"/>
      </w:pPr>
      <w:r>
        <w:t xml:space="preserve">☐  Conflict of interest disclosures on file for all board and key staff</w:t>
      </w:r>
    </w:p>
    <w:p>
      <w:pPr>
        <w:spacing w:after="40"/>
      </w:pPr>
      <w:r>
        <w:t xml:space="preserve">☐  State charitable registrations current in all required states</w:t>
      </w:r>
    </w:p>
    <w:p>
      <w:pPr>
        <w:spacing w:after="40"/>
      </w:pPr>
      <w:r>
        <w:t xml:space="preserve">☐  Findings documented and corrective actions assigned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Internal audit completion</w:t>
            </w:r>
          </w:p>
        </w:tc>
        <w:tc>
          <w:tcPr>
            <w:tcMar>
              <w:top w:type="dxa" w:w="60"/>
              <w:left w:type="dxa" w:w="120"/>
              <w:bottom w:type="dxa" w:w="60"/>
              <w:right w:type="dxa" w:w="120"/>
            </w:tcMar>
          </w:tcPr>
          <w:p>
            <w:r>
              <w:rPr>
                <w:b w:val="false"/>
                <w:bCs w:val="false"/>
              </w:rPr>
              <w:t xml:space="preserve">Quarterly audits completed on schedule</w:t>
            </w:r>
          </w:p>
        </w:tc>
      </w:tr>
      <w:tr>
        <w:trPr>
          <w:tblHeader w:val="false"/>
        </w:trPr>
        <w:tc>
          <w:tcPr>
            <w:tcMar>
              <w:top w:type="dxa" w:w="60"/>
              <w:left w:type="dxa" w:w="120"/>
              <w:bottom w:type="dxa" w:w="60"/>
              <w:right w:type="dxa" w:w="120"/>
            </w:tcMar>
          </w:tcPr>
          <w:p>
            <w:r>
              <w:rPr>
                <w:b w:val="false"/>
                <w:bCs w:val="false"/>
              </w:rPr>
              <w:t xml:space="preserve">External audit findings</w:t>
            </w:r>
          </w:p>
        </w:tc>
        <w:tc>
          <w:tcPr>
            <w:tcMar>
              <w:top w:type="dxa" w:w="60"/>
              <w:left w:type="dxa" w:w="120"/>
              <w:bottom w:type="dxa" w:w="60"/>
              <w:right w:type="dxa" w:w="120"/>
            </w:tcMar>
          </w:tcPr>
          <w:p>
            <w:r>
              <w:rPr>
                <w:b w:val="false"/>
                <w:bCs w:val="false"/>
              </w:rPr>
              <w:t xml:space="preserve">Zero material findings or questioned costs</w:t>
            </w:r>
          </w:p>
        </w:tc>
      </w:tr>
      <w:tr>
        <w:trPr>
          <w:tblHeader w:val="false"/>
        </w:trPr>
        <w:tc>
          <w:tcPr>
            <w:tcMar>
              <w:top w:type="dxa" w:w="60"/>
              <w:left w:type="dxa" w:w="120"/>
              <w:bottom w:type="dxa" w:w="60"/>
              <w:right w:type="dxa" w:w="120"/>
            </w:tcMar>
          </w:tcPr>
          <w:p>
            <w:r>
              <w:rPr>
                <w:b w:val="false"/>
                <w:bCs w:val="false"/>
              </w:rPr>
              <w:t xml:space="preserve">Grant report timeliness</w:t>
            </w:r>
          </w:p>
        </w:tc>
        <w:tc>
          <w:tcPr>
            <w:tcMar>
              <w:top w:type="dxa" w:w="60"/>
              <w:left w:type="dxa" w:w="120"/>
              <w:bottom w:type="dxa" w:w="60"/>
              <w:right w:type="dxa" w:w="120"/>
            </w:tcMar>
          </w:tcPr>
          <w:p>
            <w:r>
              <w:rPr>
                <w:b w:val="false"/>
                <w:bCs w:val="false"/>
              </w:rPr>
              <w:t xml:space="preserve">100% of reports submitted by deadline</w:t>
            </w:r>
          </w:p>
        </w:tc>
      </w:tr>
      <w:tr>
        <w:trPr>
          <w:tblHeader w:val="false"/>
        </w:trPr>
        <w:tc>
          <w:tcPr>
            <w:tcMar>
              <w:top w:type="dxa" w:w="60"/>
              <w:left w:type="dxa" w:w="120"/>
              <w:bottom w:type="dxa" w:w="60"/>
              <w:right w:type="dxa" w:w="120"/>
            </w:tcMar>
          </w:tcPr>
          <w:p>
            <w:r>
              <w:rPr>
                <w:b w:val="false"/>
                <w:bCs w:val="false"/>
              </w:rPr>
              <w:t xml:space="preserve">Corrective action closure rate</w:t>
            </w:r>
          </w:p>
        </w:tc>
        <w:tc>
          <w:tcPr>
            <w:tcMar>
              <w:top w:type="dxa" w:w="60"/>
              <w:left w:type="dxa" w:w="120"/>
              <w:bottom w:type="dxa" w:w="60"/>
              <w:right w:type="dxa" w:w="120"/>
            </w:tcMar>
          </w:tcPr>
          <w:p>
            <w:r>
              <w:rPr>
                <w:b w:val="false"/>
                <w:bCs w:val="false"/>
              </w:rPr>
              <w:t xml:space="preserve">100% of critical findings resolved within 30 days</w:t>
            </w:r>
          </w:p>
        </w:tc>
      </w:tr>
    </w:tbl>
    <w:p>
      <w:pPr>
        <w:pStyle w:val="Heading2"/>
        <w:spacing w:after="100" w:before="240"/>
      </w:pPr>
      <w:r>
        <w:t xml:space="preserve">Revision Schedule</w:t>
      </w:r>
    </w:p>
    <w:p>
      <w:pPr>
        <w:spacing w:after="100"/>
      </w:pPr>
      <w:r>
        <w:t xml:space="preserve">Annually, or after any external audit finding or new major grant award.</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Nonprofit Compliance Audit Standard Operating Procedure Template</dc:title>
  <dc:creator>Glyde</dc:creator>
  <dc:description>Free compliance audit SOP for nonprofits. Covers grant compliance, IRS reporting, and funder requirement verification.</dc:description>
  <cp:lastModifiedBy>Un-named</cp:lastModifiedBy>
  <cp:revision>1</cp:revision>
  <dcterms:created xsi:type="dcterms:W3CDTF">2026-07-22T08:34:35.314Z</dcterms:created>
  <dcterms:modified xsi:type="dcterms:W3CDTF">2026-07-22T08:34:35.314Z</dcterms:modified>
</cp:coreProperties>
</file>

<file path=docProps/custom.xml><?xml version="1.0" encoding="utf-8"?>
<Properties xmlns="http://schemas.openxmlformats.org/officeDocument/2006/custom-properties" xmlns:vt="http://schemas.openxmlformats.org/officeDocument/2006/docPropsVTypes"/>
</file>