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Real Estate Compliance Audit Standard Operating Procedure Template</w:t>
      </w:r>
    </w:p>
    <w:p>
      <w:pPr>
        <w:spacing w:after="200"/>
      </w:pPr>
      <w:r>
        <w:rPr>
          <w:i/>
          <w:iCs/>
          <w:color w:val="6B7280"/>
        </w:rPr>
        <w:t xml:space="preserve">Free compliance audit SOP for real estate brokerages. Covers license audits, transaction file reviews, and Fair Housing compliance.</w:t>
      </w:r>
    </w:p>
    <w:p>
      <w:pPr>
        <w:pStyle w:val="Heading2"/>
        <w:spacing w:after="100" w:before="240"/>
      </w:pPr>
      <w:r>
        <w:t xml:space="preserve">Purpose</w:t>
      </w:r>
    </w:p>
    <w:p>
      <w:pPr>
        <w:spacing w:after="100"/>
      </w:pPr>
      <w:r>
        <w:t xml:space="preserve">Prepare the brokerage for state real estate commission audits and internal compliance reviews. Auditors check transaction files, trust accounts, license status, and advertising compliance. Brokerages that prepare systematically avoid fines and license suspensions.</w:t>
      </w:r>
    </w:p>
    <w:p>
      <w:pPr>
        <w:pStyle w:val="Heading2"/>
        <w:spacing w:after="100" w:before="240"/>
      </w:pPr>
      <w:r>
        <w:t xml:space="preserve">Scope</w:t>
      </w:r>
    </w:p>
    <w:p>
      <w:pPr>
        <w:spacing w:after="100"/>
      </w:pPr>
      <w:r>
        <w:t xml:space="preserve">Covers transaction file audits, agent license verification, trust/escrow account reviews, advertising compliance, and Fair Housing documentation. Does not cover franchise compliance audits (separate franchise-specific process).</w:t>
      </w:r>
    </w:p>
    <w:p>
      <w:pPr>
        <w:pStyle w:val="Heading2"/>
        <w:spacing w:after="100" w:before="240"/>
      </w:pPr>
      <w:r>
        <w:t xml:space="preserve">Prerequisites</w:t>
      </w:r>
    </w:p>
    <w:p>
      <w:pPr>
        <w:pStyle w:val="ListParagraph"/>
        <w:numPr>
          <w:ilvl w:val="0"/>
          <w:numId w:val="1"/>
        </w:numPr>
        <w:spacing w:after="40"/>
      </w:pPr>
      <w:r>
        <w:t xml:space="preserve">All transaction files current in Dotloop with complete document sets</w:t>
      </w:r>
    </w:p>
    <w:p>
      <w:pPr>
        <w:pStyle w:val="ListParagraph"/>
        <w:numPr>
          <w:ilvl w:val="0"/>
          <w:numId w:val="1"/>
        </w:numPr>
        <w:spacing w:after="40"/>
      </w:pPr>
      <w:r>
        <w:t xml:space="preserve">Agent license roster verified with the state real estate commission within the last 90 days</w:t>
      </w:r>
    </w:p>
    <w:p>
      <w:pPr>
        <w:pStyle w:val="ListParagraph"/>
        <w:numPr>
          <w:ilvl w:val="0"/>
          <w:numId w:val="1"/>
        </w:numPr>
        <w:spacing w:after="40"/>
      </w:pPr>
      <w:r>
        <w:t xml:space="preserve">Trust/escrow account reconciled through the prior month</w:t>
      </w:r>
    </w:p>
    <w:p>
      <w:pPr>
        <w:pStyle w:val="ListParagraph"/>
        <w:numPr>
          <w:ilvl w:val="0"/>
          <w:numId w:val="1"/>
        </w:numPr>
        <w:spacing w:after="40"/>
      </w:pPr>
      <w:r>
        <w:t xml:space="preserve">Advertising archive maintained (social media, print, signage) for the audit period</w:t>
      </w:r>
    </w:p>
    <w:p>
      <w:pPr>
        <w:pStyle w:val="Heading2"/>
        <w:spacing w:after="100" w:before="240"/>
      </w:pPr>
      <w:r>
        <w:t xml:space="preserve">Roles &amp; Responsibilities</w:t>
      </w:r>
    </w:p>
    <w:p>
      <w:pPr>
        <w:spacing w:after="40" w:before="120"/>
      </w:pPr>
      <w:r>
        <w:rPr>
          <w:b/>
          <w:bCs/>
        </w:rPr>
        <w:t xml:space="preserve">Managing Broker</w:t>
      </w:r>
    </w:p>
    <w:p>
      <w:pPr>
        <w:pStyle w:val="ListParagraph"/>
        <w:numPr>
          <w:ilvl w:val="0"/>
          <w:numId w:val="1"/>
        </w:numPr>
        <w:spacing w:after="40"/>
      </w:pPr>
      <w:r>
        <w:t xml:space="preserve">Serve as the primary audit contact with the state commission</w:t>
      </w:r>
    </w:p>
    <w:p>
      <w:pPr>
        <w:pStyle w:val="ListParagraph"/>
        <w:numPr>
          <w:ilvl w:val="0"/>
          <w:numId w:val="1"/>
        </w:numPr>
        <w:spacing w:after="40"/>
      </w:pPr>
      <w:r>
        <w:t xml:space="preserve">Review the pre-audit readiness report and authorize remediation</w:t>
      </w:r>
    </w:p>
    <w:p>
      <w:pPr>
        <w:pStyle w:val="ListParagraph"/>
        <w:numPr>
          <w:ilvl w:val="0"/>
          <w:numId w:val="1"/>
        </w:numPr>
        <w:spacing w:after="40"/>
      </w:pPr>
      <w:r>
        <w:t xml:space="preserve">Sign off on trust account reconciliation</w:t>
      </w:r>
    </w:p>
    <w:p>
      <w:pPr>
        <w:spacing w:after="40" w:before="120"/>
      </w:pPr>
      <w:r>
        <w:rPr>
          <w:b/>
          <w:bCs/>
        </w:rPr>
        <w:t xml:space="preserve">Compliance Officer / Office Manager</w:t>
      </w:r>
    </w:p>
    <w:p>
      <w:pPr>
        <w:pStyle w:val="ListParagraph"/>
        <w:numPr>
          <w:ilvl w:val="0"/>
          <w:numId w:val="1"/>
        </w:numPr>
        <w:spacing w:after="40"/>
      </w:pPr>
      <w:r>
        <w:t xml:space="preserve">Pull and organize transaction files for the audit sample</w:t>
      </w:r>
    </w:p>
    <w:p>
      <w:pPr>
        <w:pStyle w:val="ListParagraph"/>
        <w:numPr>
          <w:ilvl w:val="0"/>
          <w:numId w:val="1"/>
        </w:numPr>
        <w:spacing w:after="40"/>
      </w:pPr>
      <w:r>
        <w:t xml:space="preserve">Verify agent license status for all active agents</w:t>
      </w:r>
    </w:p>
    <w:p>
      <w:pPr>
        <w:pStyle w:val="ListParagraph"/>
        <w:numPr>
          <w:ilvl w:val="0"/>
          <w:numId w:val="1"/>
        </w:numPr>
        <w:spacing w:after="40"/>
      </w:pPr>
      <w:r>
        <w:t xml:space="preserve">Compile advertising samples and review for Fair Housing compliance</w:t>
      </w:r>
    </w:p>
    <w:p>
      <w:pPr>
        <w:spacing w:after="40" w:before="120"/>
      </w:pPr>
      <w:r>
        <w:rPr>
          <w:b/>
          <w:bCs/>
        </w:rPr>
        <w:t xml:space="preserve">Bookkeeper</w:t>
      </w:r>
    </w:p>
    <w:p>
      <w:pPr>
        <w:pStyle w:val="ListParagraph"/>
        <w:numPr>
          <w:ilvl w:val="0"/>
          <w:numId w:val="1"/>
        </w:numPr>
        <w:spacing w:after="40"/>
      </w:pPr>
      <w:r>
        <w:t xml:space="preserve">Reconcile trust/escrow accounts for the audit period</w:t>
      </w:r>
    </w:p>
    <w:p>
      <w:pPr>
        <w:pStyle w:val="ListParagraph"/>
        <w:numPr>
          <w:ilvl w:val="0"/>
          <w:numId w:val="1"/>
        </w:numPr>
        <w:spacing w:after="40"/>
      </w:pPr>
      <w:r>
        <w:t xml:space="preserve">Prepare bank statements and transaction ledgers</w:t>
      </w:r>
    </w:p>
    <w:p>
      <w:pPr>
        <w:pStyle w:val="ListParagraph"/>
        <w:numPr>
          <w:ilvl w:val="0"/>
          <w:numId w:val="1"/>
        </w:numPr>
        <w:spacing w:after="40"/>
      </w:pPr>
      <w:r>
        <w:t xml:space="preserve">Document any trust account discrepancies and resolutions</w:t>
      </w:r>
    </w:p>
    <w:p>
      <w:pPr>
        <w:pStyle w:val="Heading2"/>
        <w:spacing w:after="100" w:before="240"/>
      </w:pPr>
      <w:r>
        <w:t xml:space="preserve">Procedure</w:t>
      </w:r>
    </w:p>
    <w:p>
      <w:pPr>
        <w:pStyle w:val="Heading3"/>
        <w:spacing w:after="40" w:before="160"/>
      </w:pPr>
      <w:r>
        <w:t xml:space="preserve">Step 1: Determine audit scope and prepare the timeline</w:t>
      </w:r>
    </w:p>
    <w:p>
      <w:pPr>
        <w:spacing w:after="100"/>
      </w:pPr>
      <w:r>
        <w:t xml:space="preserve">When audit notice arrives (or 60 days before the brokerage's internal review), identify what the auditor will examine: transaction files, trust accounts, agent licenses, advertising, or all of the above. Create a preparation timeline with the audit date as the deadline and work backward.</w:t>
      </w:r>
    </w:p>
    <w:p>
      <w:pPr>
        <w:pStyle w:val="ListParagraph"/>
        <w:numPr>
          <w:ilvl w:val="1"/>
          <w:numId w:val="1"/>
        </w:numPr>
        <w:spacing w:after="40"/>
      </w:pPr>
      <w:r>
        <w:t xml:space="preserve">Review audit notice for specific scope and documentation requests</w:t>
      </w:r>
    </w:p>
    <w:p>
      <w:pPr>
        <w:pStyle w:val="ListParagraph"/>
        <w:numPr>
          <w:ilvl w:val="1"/>
          <w:numId w:val="1"/>
        </w:numPr>
        <w:spacing w:after="40"/>
      </w:pPr>
      <w:r>
        <w:t xml:space="preserve">Set preparation deadline 2 weeks before the audit date</w:t>
      </w:r>
    </w:p>
    <w:p>
      <w:pPr>
        <w:pStyle w:val="ListParagraph"/>
        <w:numPr>
          <w:ilvl w:val="1"/>
          <w:numId w:val="1"/>
        </w:numPr>
        <w:spacing w:after="40"/>
      </w:pPr>
      <w:r>
        <w:t xml:space="preserve">Assign tasks to compliance officer, bookkeeper, and office manager</w:t>
      </w:r>
    </w:p>
    <w:p>
      <w:pPr>
        <w:pStyle w:val="ListParagraph"/>
        <w:numPr>
          <w:ilvl w:val="1"/>
          <w:numId w:val="1"/>
        </w:numPr>
        <w:spacing w:after="40"/>
      </w:pPr>
      <w:r>
        <w:t xml:space="preserve">Notify all agents that an audit is upcoming and file reviews will occur</w:t>
      </w:r>
    </w:p>
    <w:p>
      <w:pPr>
        <w:pStyle w:val="Heading3"/>
        <w:spacing w:after="40" w:before="160"/>
      </w:pPr>
      <w:r>
        <w:t xml:space="preserve">Step 2: Verify all agent licenses</w:t>
      </w:r>
    </w:p>
    <w:p>
      <w:pPr>
        <w:spacing w:after="100"/>
      </w:pPr>
      <w:r>
        <w:t xml:space="preserve">Check every active agent's license status on the state real estate commission website. Verify: active status, correct brokerage association, current CE/continuing education, and E&amp;O insurance (if state-required). Document each verification with a screenshot and timestamp.</w:t>
      </w:r>
    </w:p>
    <w:p>
      <w:pPr>
        <w:spacing w:after="100"/>
      </w:pPr>
      <w:r>
        <w:rPr>
          <w:i/>
          <w:iCs/>
          <w:color w:val="B45309"/>
        </w:rPr>
        <w:t xml:space="preserve">Warning: An agent with an expired or suspended license who conducted transactions during that period creates liability for the brokerage. Catch this before the auditor does.</w:t>
      </w:r>
    </w:p>
    <w:p>
      <w:pPr>
        <w:pStyle w:val="Heading3"/>
        <w:spacing w:after="40" w:before="160"/>
      </w:pPr>
      <w:r>
        <w:t xml:space="preserve">Step 3: Audit transaction files in Dotloop</w:t>
      </w:r>
    </w:p>
    <w:p>
      <w:pPr>
        <w:spacing w:after="100"/>
      </w:pPr>
      <w:r>
        <w:t xml:space="preserve">Pull a sample of completed transactions from the audit period (auditors typically review 10-20% of total transactions). For each, verify the file contains: signed representation agreement, all required disclosures, purchase agreement, inspection reports, closing statement, and commission disbursement authorization.</w:t>
      </w:r>
    </w:p>
    <w:p>
      <w:pPr>
        <w:pStyle w:val="ListParagraph"/>
        <w:numPr>
          <w:ilvl w:val="1"/>
          <w:numId w:val="1"/>
        </w:numPr>
        <w:spacing w:after="40"/>
      </w:pPr>
      <w:r>
        <w:t xml:space="preserve">Export the transaction list from Dotloop for the audit period</w:t>
      </w:r>
    </w:p>
    <w:p>
      <w:pPr>
        <w:pStyle w:val="ListParagraph"/>
        <w:numPr>
          <w:ilvl w:val="1"/>
          <w:numId w:val="1"/>
        </w:numPr>
        <w:spacing w:after="40"/>
      </w:pPr>
      <w:r>
        <w:t xml:space="preserve">Select a random sample (20% or as specified by the auditor)</w:t>
      </w:r>
    </w:p>
    <w:p>
      <w:pPr>
        <w:pStyle w:val="ListParagraph"/>
        <w:numPr>
          <w:ilvl w:val="1"/>
          <w:numId w:val="1"/>
        </w:numPr>
        <w:spacing w:after="40"/>
      </w:pPr>
      <w:r>
        <w:t xml:space="preserve">Review each file against the brokerage's document checklist</w:t>
      </w:r>
    </w:p>
    <w:p>
      <w:pPr>
        <w:pStyle w:val="ListParagraph"/>
        <w:numPr>
          <w:ilvl w:val="1"/>
          <w:numId w:val="1"/>
        </w:numPr>
        <w:spacing w:after="40"/>
      </w:pPr>
      <w:r>
        <w:t xml:space="preserve">Flag any files with missing documents and contact the responsible agent</w:t>
      </w:r>
    </w:p>
    <w:p>
      <w:pPr>
        <w:pStyle w:val="Heading3"/>
        <w:spacing w:after="40" w:before="160"/>
      </w:pPr>
      <w:r>
        <w:t xml:space="preserve">Step 4: Reconcile trust/escrow accounts</w:t>
      </w:r>
    </w:p>
    <w:p>
      <w:pPr>
        <w:spacing w:after="100"/>
      </w:pPr>
      <w:r>
        <w:t xml:space="preserve">Reconcile the brokerage's trust or escrow account for every month in the audit period. Match bank statements to the internal ledger. Verify that earnest money deposits were deposited within the state-required timeframe (typically 2-3 business days of acceptance). Document all reconciliations.</w:t>
      </w:r>
    </w:p>
    <w:p>
      <w:pPr>
        <w:pStyle w:val="ListParagraph"/>
        <w:numPr>
          <w:ilvl w:val="1"/>
          <w:numId w:val="1"/>
        </w:numPr>
        <w:spacing w:after="40"/>
      </w:pPr>
      <w:r>
        <w:t xml:space="preserve">Pull bank statements for the trust account for the full audit period</w:t>
      </w:r>
    </w:p>
    <w:p>
      <w:pPr>
        <w:pStyle w:val="ListParagraph"/>
        <w:numPr>
          <w:ilvl w:val="1"/>
          <w:numId w:val="1"/>
        </w:numPr>
        <w:spacing w:after="40"/>
      </w:pPr>
      <w:r>
        <w:t xml:space="preserve">Match each deposit and disbursement to a specific transaction</w:t>
      </w:r>
    </w:p>
    <w:p>
      <w:pPr>
        <w:pStyle w:val="ListParagraph"/>
        <w:numPr>
          <w:ilvl w:val="1"/>
          <w:numId w:val="1"/>
        </w:numPr>
        <w:spacing w:after="40"/>
      </w:pPr>
      <w:r>
        <w:t xml:space="preserve">Verify deposit timing against state requirements</w:t>
      </w:r>
    </w:p>
    <w:p>
      <w:pPr>
        <w:pStyle w:val="ListParagraph"/>
        <w:numPr>
          <w:ilvl w:val="1"/>
          <w:numId w:val="1"/>
        </w:numPr>
        <w:spacing w:after="40"/>
      </w:pPr>
      <w:r>
        <w:t xml:space="preserve">Document any discrepancies and their resolution</w:t>
      </w:r>
    </w:p>
    <w:p>
      <w:pPr>
        <w:pStyle w:val="Heading3"/>
        <w:spacing w:after="40" w:before="160"/>
      </w:pPr>
      <w:r>
        <w:t xml:space="preserve">Step 5: Review advertising compliance</w:t>
      </w:r>
    </w:p>
    <w:p>
      <w:pPr>
        <w:spacing w:after="100"/>
      </w:pPr>
      <w:r>
        <w:t xml:space="preserve">Pull samples of all advertising used during the audit period: social media posts, print ads, yard signs, email campaigns, and website listings. Verify each includes the brokerage name as required by state law, does not contain Fair Housing violations (discriminatory language, selective marketing), and follows MLS rules for listing accuracy.</w:t>
      </w:r>
    </w:p>
    <w:p>
      <w:pPr>
        <w:pStyle w:val="ListParagraph"/>
        <w:numPr>
          <w:ilvl w:val="1"/>
          <w:numId w:val="1"/>
        </w:numPr>
        <w:spacing w:after="40"/>
      </w:pPr>
      <w:r>
        <w:t xml:space="preserve">Collect advertising samples: social, print, digital, signage</w:t>
      </w:r>
    </w:p>
    <w:p>
      <w:pPr>
        <w:pStyle w:val="ListParagraph"/>
        <w:numPr>
          <w:ilvl w:val="1"/>
          <w:numId w:val="1"/>
        </w:numPr>
        <w:spacing w:after="40"/>
      </w:pPr>
      <w:r>
        <w:t xml:space="preserve">Verify brokerage name appears per state advertising requirements</w:t>
      </w:r>
    </w:p>
    <w:p>
      <w:pPr>
        <w:pStyle w:val="ListParagraph"/>
        <w:numPr>
          <w:ilvl w:val="1"/>
          <w:numId w:val="1"/>
        </w:numPr>
        <w:spacing w:after="40"/>
      </w:pPr>
      <w:r>
        <w:t xml:space="preserve">Check for discriminatory language or imagery per Fair Housing Act</w:t>
      </w:r>
    </w:p>
    <w:p>
      <w:pPr>
        <w:pStyle w:val="ListParagraph"/>
        <w:numPr>
          <w:ilvl w:val="1"/>
          <w:numId w:val="1"/>
        </w:numPr>
        <w:spacing w:after="40"/>
      </w:pPr>
      <w:r>
        <w:t xml:space="preserve">Verify MLS listing accuracy on any advertised properties</w:t>
      </w:r>
    </w:p>
    <w:p>
      <w:pPr>
        <w:pStyle w:val="Heading3"/>
        <w:spacing w:after="40" w:before="160"/>
      </w:pPr>
      <w:r>
        <w:t xml:space="preserve">Step 6: Conduct internal gap analysis and remediate</w:t>
      </w:r>
    </w:p>
    <w:p>
      <w:pPr>
        <w:spacing w:after="100"/>
      </w:pPr>
      <w:r>
        <w:t xml:space="preserve">Compile findings from file reviews, license checks, trust reconciliation, and advertising review. Document every gap. Assign remediation tasks with deadlines at least 5 business days before the audit. Prioritize trust account issues (highest risk) and missing transaction documents.</w:t>
      </w:r>
    </w:p>
    <w:p>
      <w:pPr>
        <w:pStyle w:val="ListParagraph"/>
        <w:numPr>
          <w:ilvl w:val="1"/>
          <w:numId w:val="1"/>
        </w:numPr>
        <w:spacing w:after="40"/>
      </w:pPr>
      <w:r>
        <w:t xml:space="preserve">Create gap analysis spreadsheet: finding, severity, owner, deadline</w:t>
      </w:r>
    </w:p>
    <w:p>
      <w:pPr>
        <w:pStyle w:val="ListParagraph"/>
        <w:numPr>
          <w:ilvl w:val="1"/>
          <w:numId w:val="1"/>
        </w:numPr>
        <w:spacing w:after="40"/>
      </w:pPr>
      <w:r>
        <w:t xml:space="preserve">Contact agents to supply missing transaction documents</w:t>
      </w:r>
    </w:p>
    <w:p>
      <w:pPr>
        <w:pStyle w:val="ListParagraph"/>
        <w:numPr>
          <w:ilvl w:val="1"/>
          <w:numId w:val="1"/>
        </w:numPr>
        <w:spacing w:after="40"/>
      </w:pPr>
      <w:r>
        <w:t xml:space="preserve">Resolve trust account discrepancies with documented explanations</w:t>
      </w:r>
    </w:p>
    <w:p>
      <w:pPr>
        <w:pStyle w:val="ListParagraph"/>
        <w:numPr>
          <w:ilvl w:val="1"/>
          <w:numId w:val="1"/>
        </w:numPr>
        <w:spacing w:after="40"/>
      </w:pPr>
      <w:r>
        <w:t xml:space="preserve">Correct any advertising compliance issues</w:t>
      </w:r>
    </w:p>
    <w:p>
      <w:pPr>
        <w:pStyle w:val="Heading3"/>
        <w:spacing w:after="40" w:before="160"/>
      </w:pPr>
      <w:r>
        <w:t xml:space="preserve">Step 7: Prepare for audit day</w:t>
      </w:r>
    </w:p>
    <w:p>
      <w:pPr>
        <w:spacing w:after="100"/>
      </w:pPr>
      <w:r>
        <w:t xml:space="preserve">Organize all documentation in Dotloop folders or physical binders as the auditor prefers. Brief the managing broker on any known gaps and their remediation status. Set up a workspace for the auditor with access to Dotloop, trust account records, and the license roster.</w:t>
      </w:r>
    </w:p>
    <w:p>
      <w:pPr>
        <w:pStyle w:val="ListParagraph"/>
        <w:numPr>
          <w:ilvl w:val="1"/>
          <w:numId w:val="1"/>
        </w:numPr>
        <w:spacing w:after="40"/>
      </w:pPr>
      <w:r>
        <w:t xml:space="preserve">Pre-load all requested documentation for easy access</w:t>
      </w:r>
    </w:p>
    <w:p>
      <w:pPr>
        <w:pStyle w:val="ListParagraph"/>
        <w:numPr>
          <w:ilvl w:val="1"/>
          <w:numId w:val="1"/>
        </w:numPr>
        <w:spacing w:after="40"/>
      </w:pPr>
      <w:r>
        <w:t xml:space="preserve">Brief the managing broker on findings and remediation status</w:t>
      </w:r>
    </w:p>
    <w:p>
      <w:pPr>
        <w:pStyle w:val="ListParagraph"/>
        <w:numPr>
          <w:ilvl w:val="1"/>
          <w:numId w:val="1"/>
        </w:numPr>
        <w:spacing w:after="40"/>
      </w:pPr>
      <w:r>
        <w:t xml:space="preserve">Set up auditor workspace with necessary system access</w:t>
      </w:r>
    </w:p>
    <w:p>
      <w:pPr>
        <w:pStyle w:val="ListParagraph"/>
        <w:numPr>
          <w:ilvl w:val="1"/>
          <w:numId w:val="1"/>
        </w:numPr>
        <w:spacing w:after="40"/>
      </w:pPr>
      <w:r>
        <w:t xml:space="preserve">Prepare a contact list of staff available to answer questions</w:t>
      </w:r>
    </w:p>
    <w:p>
      <w:pPr>
        <w:pStyle w:val="Heading2"/>
        <w:spacing w:after="100" w:before="240"/>
      </w:pPr>
      <w:r>
        <w:t xml:space="preserve">Completion Checklist</w:t>
      </w:r>
    </w:p>
    <w:p>
      <w:pPr>
        <w:spacing w:after="40"/>
      </w:pPr>
      <w:r>
        <w:t xml:space="preserve">☐  Audit scope and timeline documented</w:t>
      </w:r>
    </w:p>
    <w:p>
      <w:pPr>
        <w:spacing w:after="40"/>
      </w:pPr>
      <w:r>
        <w:t xml:space="preserve">☐  All agent licenses verified with state commission</w:t>
      </w:r>
    </w:p>
    <w:p>
      <w:pPr>
        <w:spacing w:after="40"/>
      </w:pPr>
      <w:r>
        <w:t xml:space="preserve">☐  Transaction file sample pulled and reviewed (20% minimum)</w:t>
      </w:r>
    </w:p>
    <w:p>
      <w:pPr>
        <w:spacing w:after="40"/>
      </w:pPr>
      <w:r>
        <w:t xml:space="preserve">☐  Missing documents identified and agents contacted for remediation</w:t>
      </w:r>
    </w:p>
    <w:p>
      <w:pPr>
        <w:spacing w:after="40"/>
      </w:pPr>
      <w:r>
        <w:t xml:space="preserve">☐  Trust/escrow account reconciled for full audit period</w:t>
      </w:r>
    </w:p>
    <w:p>
      <w:pPr>
        <w:spacing w:after="40"/>
      </w:pPr>
      <w:r>
        <w:t xml:space="preserve">☐  Earnest money deposit timing verified against state requirements</w:t>
      </w:r>
    </w:p>
    <w:p>
      <w:pPr>
        <w:spacing w:after="40"/>
      </w:pPr>
      <w:r>
        <w:t xml:space="preserve">☐  Advertising samples collected and reviewed for compliance</w:t>
      </w:r>
    </w:p>
    <w:p>
      <w:pPr>
        <w:spacing w:after="40"/>
      </w:pPr>
      <w:r>
        <w:t xml:space="preserve">☐  Fair Housing compliance verified in all advertising</w:t>
      </w:r>
    </w:p>
    <w:p>
      <w:pPr>
        <w:spacing w:after="40"/>
      </w:pPr>
      <w:r>
        <w:t xml:space="preserve">☐  Gap analysis completed and shared with managing broker</w:t>
      </w:r>
    </w:p>
    <w:p>
      <w:pPr>
        <w:spacing w:after="40"/>
      </w:pPr>
      <w:r>
        <w:t xml:space="preserve">☐  All identified gaps remediated before audit date</w:t>
      </w:r>
    </w:p>
    <w:p>
      <w:pPr>
        <w:spacing w:after="40"/>
      </w:pPr>
      <w:r>
        <w:t xml:space="preserve">☐  Audit day logistics prepared (workspace, documentation, personnel)</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Transaction file completeness rate</w:t>
            </w:r>
          </w:p>
        </w:tc>
        <w:tc>
          <w:tcPr>
            <w:tcMar>
              <w:top w:type="dxa" w:w="60"/>
              <w:left w:type="dxa" w:w="120"/>
              <w:bottom w:type="dxa" w:w="60"/>
              <w:right w:type="dxa" w:w="120"/>
            </w:tcMar>
          </w:tcPr>
          <w:p>
            <w:r>
              <w:rPr>
                <w:b w:val="false"/>
                <w:bCs w:val="false"/>
              </w:rPr>
              <w:t xml:space="preserve">95% of files with all required documents</w:t>
            </w:r>
          </w:p>
        </w:tc>
      </w:tr>
      <w:tr>
        <w:trPr>
          <w:tblHeader w:val="false"/>
        </w:trPr>
        <w:tc>
          <w:tcPr>
            <w:tcMar>
              <w:top w:type="dxa" w:w="60"/>
              <w:left w:type="dxa" w:w="120"/>
              <w:bottom w:type="dxa" w:w="60"/>
              <w:right w:type="dxa" w:w="120"/>
            </w:tcMar>
          </w:tcPr>
          <w:p>
            <w:r>
              <w:rPr>
                <w:b w:val="false"/>
                <w:bCs w:val="false"/>
              </w:rPr>
              <w:t xml:space="preserve">Trust account reconciliation gaps</w:t>
            </w:r>
          </w:p>
        </w:tc>
        <w:tc>
          <w:tcPr>
            <w:tcMar>
              <w:top w:type="dxa" w:w="60"/>
              <w:left w:type="dxa" w:w="120"/>
              <w:bottom w:type="dxa" w:w="60"/>
              <w:right w:type="dxa" w:w="120"/>
            </w:tcMar>
          </w:tcPr>
          <w:p>
            <w:r>
              <w:rPr>
                <w:b w:val="false"/>
                <w:bCs w:val="false"/>
              </w:rPr>
              <w:t xml:space="preserve">Zero unresolved discrepancies</w:t>
            </w:r>
          </w:p>
        </w:tc>
      </w:tr>
      <w:tr>
        <w:trPr>
          <w:tblHeader w:val="false"/>
        </w:trPr>
        <w:tc>
          <w:tcPr>
            <w:tcMar>
              <w:top w:type="dxa" w:w="60"/>
              <w:left w:type="dxa" w:w="120"/>
              <w:bottom w:type="dxa" w:w="60"/>
              <w:right w:type="dxa" w:w="120"/>
            </w:tcMar>
          </w:tcPr>
          <w:p>
            <w:r>
              <w:rPr>
                <w:b w:val="false"/>
                <w:bCs w:val="false"/>
              </w:rPr>
              <w:t xml:space="preserve">License verification</w:t>
            </w:r>
          </w:p>
        </w:tc>
        <w:tc>
          <w:tcPr>
            <w:tcMar>
              <w:top w:type="dxa" w:w="60"/>
              <w:left w:type="dxa" w:w="120"/>
              <w:bottom w:type="dxa" w:w="60"/>
              <w:right w:type="dxa" w:w="120"/>
            </w:tcMar>
          </w:tcPr>
          <w:p>
            <w:r>
              <w:rPr>
                <w:b w:val="false"/>
                <w:bCs w:val="false"/>
              </w:rPr>
              <w:t xml:space="preserve">100% of agents verified active and properly associated</w:t>
            </w:r>
          </w:p>
        </w:tc>
      </w:tr>
      <w:tr>
        <w:trPr>
          <w:tblHeader w:val="false"/>
        </w:trPr>
        <w:tc>
          <w:tcPr>
            <w:tcMar>
              <w:top w:type="dxa" w:w="60"/>
              <w:left w:type="dxa" w:w="120"/>
              <w:bottom w:type="dxa" w:w="60"/>
              <w:right w:type="dxa" w:w="120"/>
            </w:tcMar>
          </w:tcPr>
          <w:p>
            <w:r>
              <w:rPr>
                <w:b w:val="false"/>
                <w:bCs w:val="false"/>
              </w:rPr>
              <w:t xml:space="preserve">Audit findings vs prior year</w:t>
            </w:r>
          </w:p>
        </w:tc>
        <w:tc>
          <w:tcPr>
            <w:tcMar>
              <w:top w:type="dxa" w:w="60"/>
              <w:left w:type="dxa" w:w="120"/>
              <w:bottom w:type="dxa" w:w="60"/>
              <w:right w:type="dxa" w:w="120"/>
            </w:tcMar>
          </w:tcPr>
          <w:p>
            <w:r>
              <w:rPr>
                <w:b w:val="false"/>
                <w:bCs w:val="false"/>
              </w:rPr>
              <w:t xml:space="preserve">Fewer findings than previous cycle</w:t>
            </w:r>
          </w:p>
        </w:tc>
      </w:tr>
    </w:tbl>
    <w:p>
      <w:pPr>
        <w:pStyle w:val="Heading2"/>
        <w:spacing w:after="100" w:before="240"/>
      </w:pPr>
      <w:r>
        <w:t xml:space="preserve">Revision Schedule</w:t>
      </w:r>
    </w:p>
    <w:p>
      <w:pPr>
        <w:spacing w:after="100"/>
      </w:pPr>
      <w:r>
        <w:t xml:space="preserve">Annually after each audit cycle, or after changes to state real estate commission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Compliance Audit Standard Operating Procedure Template</dc:title>
  <dc:creator>Glyde</dc:creator>
  <dc:description>Free compliance audit SOP for real estate brokerages. Covers license audits, transaction file reviews, and Fair Housing compliance.</dc:description>
  <cp:lastModifiedBy>Un-named</cp:lastModifiedBy>
  <cp:revision>1</cp:revision>
  <dcterms:created xsi:type="dcterms:W3CDTF">2026-07-22T08:34:35.322Z</dcterms:created>
  <dcterms:modified xsi:type="dcterms:W3CDTF">2026-07-22T08:34:35.322Z</dcterms:modified>
</cp:coreProperties>
</file>

<file path=docProps/custom.xml><?xml version="1.0" encoding="utf-8"?>
<Properties xmlns="http://schemas.openxmlformats.org/officeDocument/2006/custom-properties" xmlns:vt="http://schemas.openxmlformats.org/officeDocument/2006/docPropsVTypes"/>
</file>