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Customer Onboarding SOP Template for Insurance Teams</w:t>
      </w:r>
    </w:p>
    <w:p>
      <w:pPr>
        <w:spacing w:after="200"/>
      </w:pPr>
      <w:r>
        <w:rPr>
          <w:i/>
          <w:iCs/>
          <w:color w:val="6B7280"/>
        </w:rPr>
        <w:t xml:space="preserve">Free customer onboarding SOP for insurance. Covers policy review, coverage explanation, and client portal setup.</w:t>
      </w:r>
    </w:p>
    <w:p>
      <w:pPr>
        <w:pStyle w:val="Heading2"/>
        <w:spacing w:after="100" w:before="240"/>
      </w:pPr>
      <w:r>
        <w:t xml:space="preserve">Purpose</w:t>
      </w:r>
    </w:p>
    <w:p>
      <w:pPr>
        <w:spacing w:after="100"/>
      </w:pPr>
      <w:r>
        <w:t xml:space="preserve">Welcome new policyholders with a structured onboarding experience that explains their coverage, sets service expectations, and builds the relationship foundation that drives retention. Insurance clients who understand their coverage file fewer unnecessary claims and are 3x more likely to add policies.</w:t>
      </w:r>
    </w:p>
    <w:p>
      <w:pPr>
        <w:pStyle w:val="Heading2"/>
        <w:spacing w:after="100" w:before="240"/>
      </w:pPr>
      <w:r>
        <w:t xml:space="preserve">Scope</w:t>
      </w:r>
    </w:p>
    <w:p>
      <w:pPr>
        <w:spacing w:after="100"/>
      </w:pPr>
      <w:r>
        <w:t xml:space="preserve">Covers new personal and commercial lines policyholders from binding through 30-day follow-up. Does not cover claims handling or policy renewals.</w:t>
      </w:r>
    </w:p>
    <w:p>
      <w:pPr>
        <w:pStyle w:val="Heading2"/>
        <w:spacing w:after="100" w:before="240"/>
      </w:pPr>
      <w:r>
        <w:t xml:space="preserve">Prerequisites</w:t>
      </w:r>
    </w:p>
    <w:p>
      <w:pPr>
        <w:pStyle w:val="ListParagraph"/>
        <w:numPr>
          <w:ilvl w:val="0"/>
          <w:numId w:val="1"/>
        </w:numPr>
        <w:spacing w:after="40"/>
      </w:pPr>
      <w:r>
        <w:t xml:space="preserve">Policy bound and issued by the carrier</w:t>
      </w:r>
    </w:p>
    <w:p>
      <w:pPr>
        <w:pStyle w:val="ListParagraph"/>
        <w:numPr>
          <w:ilvl w:val="0"/>
          <w:numId w:val="1"/>
        </w:numPr>
        <w:spacing w:after="40"/>
      </w:pPr>
      <w:r>
        <w:t xml:space="preserve">Client contact information entered in the AMS</w:t>
      </w:r>
    </w:p>
    <w:p>
      <w:pPr>
        <w:pStyle w:val="ListParagraph"/>
        <w:numPr>
          <w:ilvl w:val="0"/>
          <w:numId w:val="1"/>
        </w:numPr>
        <w:spacing w:after="40"/>
      </w:pPr>
      <w:r>
        <w:t xml:space="preserve">Welcome packet prepared (physical or digital)</w:t>
      </w:r>
    </w:p>
    <w:p>
      <w:pPr>
        <w:pStyle w:val="ListParagraph"/>
        <w:numPr>
          <w:ilvl w:val="0"/>
          <w:numId w:val="1"/>
        </w:numPr>
        <w:spacing w:after="40"/>
      </w:pPr>
      <w:r>
        <w:t xml:space="preserve">Client portal access ready to provision</w:t>
      </w:r>
    </w:p>
    <w:p>
      <w:pPr>
        <w:pStyle w:val="ListParagraph"/>
        <w:numPr>
          <w:ilvl w:val="0"/>
          <w:numId w:val="1"/>
        </w:numPr>
        <w:spacing w:after="40"/>
      </w:pPr>
      <w:r>
        <w:t xml:space="preserve">Agency service standards documented</w:t>
      </w:r>
    </w:p>
    <w:p>
      <w:pPr>
        <w:pStyle w:val="Heading2"/>
        <w:spacing w:after="100" w:before="240"/>
      </w:pPr>
      <w:r>
        <w:t xml:space="preserve">Roles &amp; Responsibilities</w:t>
      </w:r>
    </w:p>
    <w:p>
      <w:pPr>
        <w:spacing w:after="40" w:before="120"/>
      </w:pPr>
      <w:r>
        <w:rPr>
          <w:b/>
          <w:bCs/>
        </w:rPr>
        <w:t xml:space="preserve">Account Manager / CSR</w:t>
      </w:r>
    </w:p>
    <w:p>
      <w:pPr>
        <w:pStyle w:val="ListParagraph"/>
        <w:numPr>
          <w:ilvl w:val="0"/>
          <w:numId w:val="1"/>
        </w:numPr>
        <w:spacing w:after="40"/>
      </w:pPr>
      <w:r>
        <w:t xml:space="preserve">Send the welcome packet and policy documents</w:t>
      </w:r>
    </w:p>
    <w:p>
      <w:pPr>
        <w:pStyle w:val="ListParagraph"/>
        <w:numPr>
          <w:ilvl w:val="0"/>
          <w:numId w:val="1"/>
        </w:numPr>
        <w:spacing w:after="40"/>
      </w:pPr>
      <w:r>
        <w:t xml:space="preserve">Conduct the coverage review call</w:t>
      </w:r>
    </w:p>
    <w:p>
      <w:pPr>
        <w:pStyle w:val="ListParagraph"/>
        <w:numPr>
          <w:ilvl w:val="0"/>
          <w:numId w:val="1"/>
        </w:numPr>
        <w:spacing w:after="40"/>
      </w:pPr>
      <w:r>
        <w:t xml:space="preserve">Set up client portal access and explain self-service options</w:t>
      </w:r>
    </w:p>
    <w:p>
      <w:pPr>
        <w:spacing w:after="40" w:before="120"/>
      </w:pPr>
      <w:r>
        <w:rPr>
          <w:b/>
          <w:bCs/>
        </w:rPr>
        <w:t xml:space="preserve">Producing Agent</w:t>
      </w:r>
    </w:p>
    <w:p>
      <w:pPr>
        <w:pStyle w:val="ListParagraph"/>
        <w:numPr>
          <w:ilvl w:val="0"/>
          <w:numId w:val="1"/>
        </w:numPr>
        <w:spacing w:after="40"/>
      </w:pPr>
      <w:r>
        <w:t xml:space="preserve">Make the personal welcome call for accounts they wrote</w:t>
      </w:r>
    </w:p>
    <w:p>
      <w:pPr>
        <w:pStyle w:val="ListParagraph"/>
        <w:numPr>
          <w:ilvl w:val="0"/>
          <w:numId w:val="1"/>
        </w:numPr>
        <w:spacing w:after="40"/>
      </w:pPr>
      <w:r>
        <w:t xml:space="preserve">Identify cross-sell opportunities during onboarding</w:t>
      </w:r>
    </w:p>
    <w:p>
      <w:pPr>
        <w:pStyle w:val="ListParagraph"/>
        <w:numPr>
          <w:ilvl w:val="0"/>
          <w:numId w:val="1"/>
        </w:numPr>
        <w:spacing w:after="40"/>
      </w:pPr>
      <w:r>
        <w:t xml:space="preserve">Introduce the account manager who will handle ongoing service</w:t>
      </w:r>
    </w:p>
    <w:p>
      <w:pPr>
        <w:spacing w:after="40" w:before="120"/>
      </w:pPr>
      <w:r>
        <w:rPr>
          <w:b/>
          <w:bCs/>
        </w:rPr>
        <w:t xml:space="preserve">Office Manager</w:t>
      </w:r>
    </w:p>
    <w:p>
      <w:pPr>
        <w:pStyle w:val="ListParagraph"/>
        <w:numPr>
          <w:ilvl w:val="0"/>
          <w:numId w:val="1"/>
        </w:numPr>
        <w:spacing w:after="40"/>
      </w:pPr>
      <w:r>
        <w:t xml:space="preserve">Ensure AMS records are complete and accurate</w:t>
      </w:r>
    </w:p>
    <w:p>
      <w:pPr>
        <w:pStyle w:val="ListParagraph"/>
        <w:numPr>
          <w:ilvl w:val="0"/>
          <w:numId w:val="1"/>
        </w:numPr>
        <w:spacing w:after="40"/>
      </w:pPr>
      <w:r>
        <w:t xml:space="preserve">Schedule the 30-day follow-up</w:t>
      </w:r>
    </w:p>
    <w:p>
      <w:pPr>
        <w:pStyle w:val="ListParagraph"/>
        <w:numPr>
          <w:ilvl w:val="0"/>
          <w:numId w:val="1"/>
        </w:numPr>
        <w:spacing w:after="40"/>
      </w:pPr>
      <w:r>
        <w:t xml:space="preserve">Track onboarding completion metrics</w:t>
      </w:r>
    </w:p>
    <w:p>
      <w:pPr>
        <w:pStyle w:val="Heading2"/>
        <w:spacing w:after="100" w:before="240"/>
      </w:pPr>
      <w:r>
        <w:t xml:space="preserve">Procedure</w:t>
      </w:r>
    </w:p>
    <w:p>
      <w:pPr>
        <w:pStyle w:val="Heading3"/>
        <w:spacing w:after="40" w:before="160"/>
      </w:pPr>
      <w:r>
        <w:t xml:space="preserve">Step 1: Send the welcome packet within 24 hours of binding</w:t>
      </w:r>
    </w:p>
    <w:p>
      <w:pPr>
        <w:spacing w:after="100"/>
      </w:pPr>
      <w:r>
        <w:t xml:space="preserve">Within 24 hours of binding the policy, send the welcome packet. Include: welcome letter with the agent's direct contact information, summary of coverages purchased, policy number and carrier contact for claims, agency service hours and after-hours emergency procedures, and instructions for accessing the client portal.</w:t>
      </w:r>
    </w:p>
    <w:p>
      <w:pPr>
        <w:pStyle w:val="ListParagraph"/>
        <w:numPr>
          <w:ilvl w:val="1"/>
          <w:numId w:val="1"/>
        </w:numPr>
        <w:spacing w:after="40"/>
      </w:pPr>
      <w:r>
        <w:t xml:space="preserve">Prepare the welcome packet with personalized cover letter</w:t>
      </w:r>
    </w:p>
    <w:p>
      <w:pPr>
        <w:pStyle w:val="ListParagraph"/>
        <w:numPr>
          <w:ilvl w:val="1"/>
          <w:numId w:val="1"/>
        </w:numPr>
        <w:spacing w:after="40"/>
      </w:pPr>
      <w:r>
        <w:t xml:space="preserve">Include the coverage summary with key limits and deductibles</w:t>
      </w:r>
    </w:p>
    <w:p>
      <w:pPr>
        <w:pStyle w:val="ListParagraph"/>
        <w:numPr>
          <w:ilvl w:val="1"/>
          <w:numId w:val="1"/>
        </w:numPr>
        <w:spacing w:after="40"/>
      </w:pPr>
      <w:r>
        <w:t xml:space="preserve">Provide the claims reporting number and procedure</w:t>
      </w:r>
    </w:p>
    <w:p>
      <w:pPr>
        <w:pStyle w:val="ListParagraph"/>
        <w:numPr>
          <w:ilvl w:val="1"/>
          <w:numId w:val="1"/>
        </w:numPr>
        <w:spacing w:after="40"/>
      </w:pPr>
      <w:r>
        <w:t xml:space="preserve">Include agency contact information and service hours</w:t>
      </w:r>
    </w:p>
    <w:p>
      <w:pPr>
        <w:pStyle w:val="ListParagraph"/>
        <w:numPr>
          <w:ilvl w:val="1"/>
          <w:numId w:val="1"/>
        </w:numPr>
        <w:spacing w:after="40"/>
      </w:pPr>
      <w:r>
        <w:t xml:space="preserve">Add client portal setup instructions</w:t>
      </w:r>
    </w:p>
    <w:p>
      <w:pPr>
        <w:pStyle w:val="ListParagraph"/>
        <w:numPr>
          <w:ilvl w:val="1"/>
          <w:numId w:val="1"/>
        </w:numPr>
        <w:spacing w:after="40"/>
      </w:pPr>
      <w:r>
        <w:t xml:space="preserve">Send via the client's preferred channel (email or mail)</w:t>
      </w:r>
    </w:p>
    <w:p>
      <w:pPr>
        <w:pStyle w:val="Heading3"/>
        <w:spacing w:after="40" w:before="160"/>
      </w:pPr>
      <w:r>
        <w:t xml:space="preserve">Step 2: Conduct the coverage review call</w:t>
      </w:r>
    </w:p>
    <w:p>
      <w:pPr>
        <w:spacing w:after="100"/>
      </w:pPr>
      <w:r>
        <w:t xml:space="preserve">Within 5 business days, the account manager calls the new client to walk through their coverage. Explain: what's covered, what's excluded, deductibles, limits, and any endorsements. This is not a sales call — it's an education call. Clients who understand their coverage make fewer E&amp;O-triggering mistakes (like assuming something is covered when it isn't).</w:t>
      </w:r>
    </w:p>
    <w:p>
      <w:pPr>
        <w:pStyle w:val="ListParagraph"/>
        <w:numPr>
          <w:ilvl w:val="1"/>
          <w:numId w:val="1"/>
        </w:numPr>
        <w:spacing w:after="40"/>
      </w:pPr>
      <w:r>
        <w:t xml:space="preserve">Schedule the coverage review call at the client's convenience</w:t>
      </w:r>
    </w:p>
    <w:p>
      <w:pPr>
        <w:pStyle w:val="ListParagraph"/>
        <w:numPr>
          <w:ilvl w:val="1"/>
          <w:numId w:val="1"/>
        </w:numPr>
        <w:spacing w:after="40"/>
      </w:pPr>
      <w:r>
        <w:t xml:space="preserve">Walk through each coverage line, explaining limits and deductibles</w:t>
      </w:r>
    </w:p>
    <w:p>
      <w:pPr>
        <w:pStyle w:val="ListParagraph"/>
        <w:numPr>
          <w:ilvl w:val="1"/>
          <w:numId w:val="1"/>
        </w:numPr>
        <w:spacing w:after="40"/>
      </w:pPr>
      <w:r>
        <w:t xml:space="preserve">Highlight key exclusions the client should know about</w:t>
      </w:r>
    </w:p>
    <w:p>
      <w:pPr>
        <w:pStyle w:val="ListParagraph"/>
        <w:numPr>
          <w:ilvl w:val="1"/>
          <w:numId w:val="1"/>
        </w:numPr>
        <w:spacing w:after="40"/>
      </w:pPr>
      <w:r>
        <w:t xml:space="preserve">Explain the claims process and when to call the agency vs. the carrier</w:t>
      </w:r>
    </w:p>
    <w:p>
      <w:pPr>
        <w:pStyle w:val="ListParagraph"/>
        <w:numPr>
          <w:ilvl w:val="1"/>
          <w:numId w:val="1"/>
        </w:numPr>
        <w:spacing w:after="40"/>
      </w:pPr>
      <w:r>
        <w:t xml:space="preserve">Answer all questions thoroughly</w:t>
      </w:r>
    </w:p>
    <w:p>
      <w:pPr>
        <w:pStyle w:val="ListParagraph"/>
        <w:numPr>
          <w:ilvl w:val="1"/>
          <w:numId w:val="1"/>
        </w:numPr>
        <w:spacing w:after="40"/>
      </w:pPr>
      <w:r>
        <w:t xml:space="preserve">Document the review in the AMS activity log</w:t>
      </w:r>
    </w:p>
    <w:p>
      <w:pPr>
        <w:spacing w:after="100"/>
      </w:pPr>
      <w:r>
        <w:rPr>
          <w:i/>
          <w:iCs/>
          <w:color w:val="B45309"/>
        </w:rPr>
        <w:t xml:space="preserve">Warning: The coverage review call is your best E&amp;O defense. If a client later claims they didn't understand a coverage gap, your documented review showing you explained the exclusion is your evidence. Document what you covered, questions asked, and answers given.</w:t>
      </w:r>
    </w:p>
    <w:p>
      <w:pPr>
        <w:pStyle w:val="Heading3"/>
        <w:spacing w:after="40" w:before="160"/>
      </w:pPr>
      <w:r>
        <w:t xml:space="preserve">Step 3: Set up client portal and digital access</w:t>
      </w:r>
    </w:p>
    <w:p>
      <w:pPr>
        <w:spacing w:after="100"/>
      </w:pPr>
      <w:r>
        <w:t xml:space="preserve">Help the client access their insurance documents digitally: carrier client portal for ID cards and policy documents, agency portal for certificates and account management, and mobile app setup for ID cards. Digital access reduces inbound service calls and gives clients 24/7 self-service capability.</w:t>
      </w:r>
    </w:p>
    <w:p>
      <w:pPr>
        <w:pStyle w:val="ListParagraph"/>
        <w:numPr>
          <w:ilvl w:val="1"/>
          <w:numId w:val="1"/>
        </w:numPr>
        <w:spacing w:after="40"/>
      </w:pPr>
      <w:r>
        <w:t xml:space="preserve">Send client portal invitation and access credentials</w:t>
      </w:r>
    </w:p>
    <w:p>
      <w:pPr>
        <w:pStyle w:val="ListParagraph"/>
        <w:numPr>
          <w:ilvl w:val="1"/>
          <w:numId w:val="1"/>
        </w:numPr>
        <w:spacing w:after="40"/>
      </w:pPr>
      <w:r>
        <w:t xml:space="preserve">Walk the client through portal features by phone if needed</w:t>
      </w:r>
    </w:p>
    <w:p>
      <w:pPr>
        <w:pStyle w:val="ListParagraph"/>
        <w:numPr>
          <w:ilvl w:val="1"/>
          <w:numId w:val="1"/>
        </w:numPr>
        <w:spacing w:after="40"/>
      </w:pPr>
      <w:r>
        <w:t xml:space="preserve">Help set up the carrier mobile app for digital ID cards</w:t>
      </w:r>
    </w:p>
    <w:p>
      <w:pPr>
        <w:pStyle w:val="ListParagraph"/>
        <w:numPr>
          <w:ilvl w:val="1"/>
          <w:numId w:val="1"/>
        </w:numPr>
        <w:spacing w:after="40"/>
      </w:pPr>
      <w:r>
        <w:t xml:space="preserve">Verify the client can access their policy documents online</w:t>
      </w:r>
    </w:p>
    <w:p>
      <w:pPr>
        <w:pStyle w:val="ListParagraph"/>
        <w:numPr>
          <w:ilvl w:val="1"/>
          <w:numId w:val="1"/>
        </w:numPr>
        <w:spacing w:after="40"/>
      </w:pPr>
      <w:r>
        <w:t xml:space="preserve">Confirm the client's preferred communication method (email, text, phone)</w:t>
      </w:r>
    </w:p>
    <w:p>
      <w:pPr>
        <w:pStyle w:val="Heading3"/>
        <w:spacing w:after="40" w:before="160"/>
      </w:pPr>
      <w:r>
        <w:t xml:space="preserve">Step 4: Identify cross-sell and coverage gap opportunities</w:t>
      </w:r>
    </w:p>
    <w:p>
      <w:pPr>
        <w:spacing w:after="100"/>
      </w:pPr>
      <w:r>
        <w:t xml:space="preserve">During onboarding conversations, identify coverage gaps and cross-sell opportunities. Not as a hard sell — as a professional recommendation. If the client has homeowners but no umbrella, note it. If they have auto but no roadside assistance, mention it. Document opportunities in the AMS for follow-up at the appropriate time.</w:t>
      </w:r>
    </w:p>
    <w:p>
      <w:pPr>
        <w:pStyle w:val="ListParagraph"/>
        <w:numPr>
          <w:ilvl w:val="1"/>
          <w:numId w:val="1"/>
        </w:numPr>
        <w:spacing w:after="40"/>
      </w:pPr>
      <w:r>
        <w:t xml:space="preserve">Review the client's current coverage for common gaps</w:t>
      </w:r>
    </w:p>
    <w:p>
      <w:pPr>
        <w:pStyle w:val="ListParagraph"/>
        <w:numPr>
          <w:ilvl w:val="1"/>
          <w:numId w:val="1"/>
        </w:numPr>
        <w:spacing w:after="40"/>
      </w:pPr>
      <w:r>
        <w:t xml:space="preserve">Note coverage gaps: umbrella, flood, cyber, life, disability</w:t>
      </w:r>
    </w:p>
    <w:p>
      <w:pPr>
        <w:pStyle w:val="ListParagraph"/>
        <w:numPr>
          <w:ilvl w:val="1"/>
          <w:numId w:val="1"/>
        </w:numPr>
        <w:spacing w:after="40"/>
      </w:pPr>
      <w:r>
        <w:t xml:space="preserve">Mention identified gaps during the coverage review naturally</w:t>
      </w:r>
    </w:p>
    <w:p>
      <w:pPr>
        <w:pStyle w:val="ListParagraph"/>
        <w:numPr>
          <w:ilvl w:val="1"/>
          <w:numId w:val="1"/>
        </w:numPr>
        <w:spacing w:after="40"/>
      </w:pPr>
      <w:r>
        <w:t xml:space="preserve">Document cross-sell opportunities in the AMS</w:t>
      </w:r>
    </w:p>
    <w:p>
      <w:pPr>
        <w:pStyle w:val="ListParagraph"/>
        <w:numPr>
          <w:ilvl w:val="1"/>
          <w:numId w:val="1"/>
        </w:numPr>
        <w:spacing w:after="40"/>
      </w:pPr>
      <w:r>
        <w:t xml:space="preserve">Schedule follow-up for quoted cross-sell items</w:t>
      </w:r>
    </w:p>
    <w:p>
      <w:pPr>
        <w:pStyle w:val="ListParagraph"/>
        <w:numPr>
          <w:ilvl w:val="1"/>
          <w:numId w:val="1"/>
        </w:numPr>
        <w:spacing w:after="40"/>
      </w:pPr>
      <w:r>
        <w:t xml:space="preserve">Respect the client's pace — don't push during onboarding</w:t>
      </w:r>
    </w:p>
    <w:p>
      <w:pPr>
        <w:pStyle w:val="Heading3"/>
        <w:spacing w:after="40" w:before="160"/>
      </w:pPr>
      <w:r>
        <w:t xml:space="preserve">Step 5: Conduct 30-day follow-up</w:t>
      </w:r>
    </w:p>
    <w:p>
      <w:pPr>
        <w:spacing w:after="100"/>
      </w:pPr>
      <w:r>
        <w:t xml:space="preserve">At 30 days, contact the client to check in: received all policy documents? Any questions about coverage? Any changes needed (new vehicle, renovation, business change)? This follow-up catches issues early and reinforces that the agency provides proactive service — not just reactive policy processing.</w:t>
      </w:r>
    </w:p>
    <w:p>
      <w:pPr>
        <w:pStyle w:val="ListParagraph"/>
        <w:numPr>
          <w:ilvl w:val="1"/>
          <w:numId w:val="1"/>
        </w:numPr>
        <w:spacing w:after="40"/>
      </w:pPr>
      <w:r>
        <w:t xml:space="preserve">Call or email the client at 30 days</w:t>
      </w:r>
    </w:p>
    <w:p>
      <w:pPr>
        <w:pStyle w:val="ListParagraph"/>
        <w:numPr>
          <w:ilvl w:val="1"/>
          <w:numId w:val="1"/>
        </w:numPr>
        <w:spacing w:after="40"/>
      </w:pPr>
      <w:r>
        <w:t xml:space="preserve">Confirm all policy documents received</w:t>
      </w:r>
    </w:p>
    <w:p>
      <w:pPr>
        <w:pStyle w:val="ListParagraph"/>
        <w:numPr>
          <w:ilvl w:val="1"/>
          <w:numId w:val="1"/>
        </w:numPr>
        <w:spacing w:after="40"/>
      </w:pPr>
      <w:r>
        <w:t xml:space="preserve">Ask if any questions have come up about coverage</w:t>
      </w:r>
    </w:p>
    <w:p>
      <w:pPr>
        <w:pStyle w:val="ListParagraph"/>
        <w:numPr>
          <w:ilvl w:val="1"/>
          <w:numId w:val="1"/>
        </w:numPr>
        <w:spacing w:after="40"/>
      </w:pPr>
      <w:r>
        <w:t xml:space="preserve">Check for any changes that might affect coverage needs</w:t>
      </w:r>
    </w:p>
    <w:p>
      <w:pPr>
        <w:pStyle w:val="ListParagraph"/>
        <w:numPr>
          <w:ilvl w:val="1"/>
          <w:numId w:val="1"/>
        </w:numPr>
        <w:spacing w:after="40"/>
      </w:pPr>
      <w:r>
        <w:t xml:space="preserve">Remind about upcoming payment schedule</w:t>
      </w:r>
    </w:p>
    <w:p>
      <w:pPr>
        <w:pStyle w:val="ListParagraph"/>
        <w:numPr>
          <w:ilvl w:val="1"/>
          <w:numId w:val="1"/>
        </w:numPr>
        <w:spacing w:after="40"/>
      </w:pPr>
      <w:r>
        <w:t xml:space="preserve">Document the follow-up in the AMS</w:t>
      </w:r>
    </w:p>
    <w:p>
      <w:pPr>
        <w:pStyle w:val="Heading3"/>
        <w:spacing w:after="40" w:before="160"/>
      </w:pPr>
      <w:r>
        <w:t xml:space="preserve">Step 6: Request referral and online review</w:t>
      </w:r>
    </w:p>
    <w:p>
      <w:pPr>
        <w:spacing w:after="100"/>
      </w:pPr>
      <w:r>
        <w:t xml:space="preserve">After confirming the client is satisfied at 30 days, ask for a referral and/or online review. Timing matters — ask when the client has just confirmed they're happy, not during a problem. Provide a direct link to leave a Google review. Happy clients are the best source of new business, but only if you ask.</w:t>
      </w:r>
    </w:p>
    <w:p>
      <w:pPr>
        <w:pStyle w:val="ListParagraph"/>
        <w:numPr>
          <w:ilvl w:val="1"/>
          <w:numId w:val="1"/>
        </w:numPr>
        <w:spacing w:after="40"/>
      </w:pPr>
      <w:r>
        <w:t xml:space="preserve">Confirm the client is satisfied with the onboarding experience</w:t>
      </w:r>
    </w:p>
    <w:p>
      <w:pPr>
        <w:pStyle w:val="ListParagraph"/>
        <w:numPr>
          <w:ilvl w:val="1"/>
          <w:numId w:val="1"/>
        </w:numPr>
        <w:spacing w:after="40"/>
      </w:pPr>
      <w:r>
        <w:t xml:space="preserve">Ask if they know anyone who might benefit from a coverage review</w:t>
      </w:r>
    </w:p>
    <w:p>
      <w:pPr>
        <w:pStyle w:val="ListParagraph"/>
        <w:numPr>
          <w:ilvl w:val="1"/>
          <w:numId w:val="1"/>
        </w:numPr>
        <w:spacing w:after="40"/>
      </w:pPr>
      <w:r>
        <w:t xml:space="preserve">Provide a direct link to leave a Google review</w:t>
      </w:r>
    </w:p>
    <w:p>
      <w:pPr>
        <w:pStyle w:val="ListParagraph"/>
        <w:numPr>
          <w:ilvl w:val="1"/>
          <w:numId w:val="1"/>
        </w:numPr>
        <w:spacing w:after="40"/>
      </w:pPr>
      <w:r>
        <w:t xml:space="preserve">Thank them for their business</w:t>
      </w:r>
    </w:p>
    <w:p>
      <w:pPr>
        <w:pStyle w:val="ListParagraph"/>
        <w:numPr>
          <w:ilvl w:val="1"/>
          <w:numId w:val="1"/>
        </w:numPr>
        <w:spacing w:after="40"/>
      </w:pPr>
      <w:r>
        <w:t xml:space="preserve">Document the referral request and any referrals received</w:t>
      </w:r>
    </w:p>
    <w:p>
      <w:pPr>
        <w:pStyle w:val="Heading2"/>
        <w:spacing w:after="100" w:before="240"/>
      </w:pPr>
      <w:r>
        <w:t xml:space="preserve">Completion Checklist</w:t>
      </w:r>
    </w:p>
    <w:p>
      <w:pPr>
        <w:spacing w:after="40"/>
      </w:pPr>
      <w:r>
        <w:t xml:space="preserve">☐  Welcome packet sent within 24 hours of binding</w:t>
      </w:r>
    </w:p>
    <w:p>
      <w:pPr>
        <w:spacing w:after="40"/>
      </w:pPr>
      <w:r>
        <w:t xml:space="preserve">☐  Policy documents delivered to the client</w:t>
      </w:r>
    </w:p>
    <w:p>
      <w:pPr>
        <w:spacing w:after="40"/>
      </w:pPr>
      <w:r>
        <w:t xml:space="preserve">☐  Coverage review call completed within 5 business days</w:t>
      </w:r>
    </w:p>
    <w:p>
      <w:pPr>
        <w:spacing w:after="40"/>
      </w:pPr>
      <w:r>
        <w:t xml:space="preserve">☐  Key exclusions explained and documented</w:t>
      </w:r>
    </w:p>
    <w:p>
      <w:pPr>
        <w:spacing w:after="40"/>
      </w:pPr>
      <w:r>
        <w:t xml:space="preserve">☐  Claims reporting procedure explained</w:t>
      </w:r>
    </w:p>
    <w:p>
      <w:pPr>
        <w:spacing w:after="40"/>
      </w:pPr>
      <w:r>
        <w:t xml:space="preserve">☐  Client portal access set up and verified</w:t>
      </w:r>
    </w:p>
    <w:p>
      <w:pPr>
        <w:spacing w:after="40"/>
      </w:pPr>
      <w:r>
        <w:t xml:space="preserve">☐  Mobile app setup assisted</w:t>
      </w:r>
    </w:p>
    <w:p>
      <w:pPr>
        <w:spacing w:after="40"/>
      </w:pPr>
      <w:r>
        <w:t xml:space="preserve">☐  Cross-sell opportunities identified and documented in AMS</w:t>
      </w:r>
    </w:p>
    <w:p>
      <w:pPr>
        <w:spacing w:after="40"/>
      </w:pPr>
      <w:r>
        <w:t xml:space="preserve">☐  30-day follow-up completed</w:t>
      </w:r>
    </w:p>
    <w:p>
      <w:pPr>
        <w:spacing w:after="40"/>
      </w:pPr>
      <w:r>
        <w:t xml:space="preserve">☐  Client satisfaction confirmed</w:t>
      </w:r>
    </w:p>
    <w:p>
      <w:pPr>
        <w:spacing w:after="40"/>
      </w:pPr>
      <w:r>
        <w:t xml:space="preserve">☐  Referral and review requested</w:t>
      </w:r>
    </w:p>
    <w:p>
      <w:pPr>
        <w:spacing w:after="40"/>
      </w:pPr>
      <w:r>
        <w:t xml:space="preserve">☐  AMS records complete with all activity logged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Welcome packet delivery time</w:t>
            </w:r>
          </w:p>
        </w:tc>
        <w:tc>
          <w:tcPr>
            <w:tcMar>
              <w:top w:type="dxa" w:w="60"/>
              <w:left w:type="dxa" w:w="120"/>
              <w:bottom w:type="dxa" w:w="60"/>
              <w:right w:type="dxa" w:w="120"/>
            </w:tcMar>
          </w:tcPr>
          <w:p>
            <w:r>
              <w:rPr>
                <w:b w:val="false"/>
                <w:bCs w:val="false"/>
              </w:rPr>
              <w:t xml:space="preserve">Within 24 hours of binding</w:t>
            </w:r>
          </w:p>
        </w:tc>
      </w:tr>
      <w:tr>
        <w:trPr>
          <w:tblHeader w:val="false"/>
        </w:trPr>
        <w:tc>
          <w:tcPr>
            <w:tcMar>
              <w:top w:type="dxa" w:w="60"/>
              <w:left w:type="dxa" w:w="120"/>
              <w:bottom w:type="dxa" w:w="60"/>
              <w:right w:type="dxa" w:w="120"/>
            </w:tcMar>
          </w:tcPr>
          <w:p>
            <w:r>
              <w:rPr>
                <w:b w:val="false"/>
                <w:bCs w:val="false"/>
              </w:rPr>
              <w:t xml:space="preserve">Coverage review completion</w:t>
            </w:r>
          </w:p>
        </w:tc>
        <w:tc>
          <w:tcPr>
            <w:tcMar>
              <w:top w:type="dxa" w:w="60"/>
              <w:left w:type="dxa" w:w="120"/>
              <w:bottom w:type="dxa" w:w="60"/>
              <w:right w:type="dxa" w:w="120"/>
            </w:tcMar>
          </w:tcPr>
          <w:p>
            <w:r>
              <w:rPr>
                <w:b w:val="false"/>
                <w:bCs w:val="false"/>
              </w:rPr>
              <w:t xml:space="preserve">100% of new clients receive coverage review within 5 days</w:t>
            </w:r>
          </w:p>
        </w:tc>
      </w:tr>
      <w:tr>
        <w:trPr>
          <w:tblHeader w:val="false"/>
        </w:trPr>
        <w:tc>
          <w:tcPr>
            <w:tcMar>
              <w:top w:type="dxa" w:w="60"/>
              <w:left w:type="dxa" w:w="120"/>
              <w:bottom w:type="dxa" w:w="60"/>
              <w:right w:type="dxa" w:w="120"/>
            </w:tcMar>
          </w:tcPr>
          <w:p>
            <w:r>
              <w:rPr>
                <w:b w:val="false"/>
                <w:bCs w:val="false"/>
              </w:rPr>
              <w:t xml:space="preserve">30-day follow-up rate</w:t>
            </w:r>
          </w:p>
        </w:tc>
        <w:tc>
          <w:tcPr>
            <w:tcMar>
              <w:top w:type="dxa" w:w="60"/>
              <w:left w:type="dxa" w:w="120"/>
              <w:bottom w:type="dxa" w:w="60"/>
              <w:right w:type="dxa" w:w="120"/>
            </w:tcMar>
          </w:tcPr>
          <w:p>
            <w:r>
              <w:rPr>
                <w:b w:val="false"/>
                <w:bCs w:val="false"/>
              </w:rPr>
              <w:t xml:space="preserve">100% of new clients contacted at 30 days</w:t>
            </w:r>
          </w:p>
        </w:tc>
      </w:tr>
      <w:tr>
        <w:trPr>
          <w:tblHeader w:val="false"/>
        </w:trPr>
        <w:tc>
          <w:tcPr>
            <w:tcMar>
              <w:top w:type="dxa" w:w="60"/>
              <w:left w:type="dxa" w:w="120"/>
              <w:bottom w:type="dxa" w:w="60"/>
              <w:right w:type="dxa" w:w="120"/>
            </w:tcMar>
          </w:tcPr>
          <w:p>
            <w:r>
              <w:rPr>
                <w:b w:val="false"/>
                <w:bCs w:val="false"/>
              </w:rPr>
              <w:t xml:space="preserve">Client retention rate</w:t>
            </w:r>
          </w:p>
        </w:tc>
        <w:tc>
          <w:tcPr>
            <w:tcMar>
              <w:top w:type="dxa" w:w="60"/>
              <w:left w:type="dxa" w:w="120"/>
              <w:bottom w:type="dxa" w:w="60"/>
              <w:right w:type="dxa" w:w="120"/>
            </w:tcMar>
          </w:tcPr>
          <w:p>
            <w:r>
              <w:rPr>
                <w:b w:val="false"/>
                <w:bCs w:val="false"/>
              </w:rPr>
              <w:t xml:space="preserve">95% first-year retention for onboarded clients</w:t>
            </w:r>
          </w:p>
        </w:tc>
      </w:tr>
    </w:tbl>
    <w:p>
      <w:pPr>
        <w:pStyle w:val="Heading2"/>
        <w:spacing w:after="100" w:before="240"/>
      </w:pPr>
      <w:r>
        <w:t xml:space="preserve">Revision Schedule</w:t>
      </w:r>
    </w:p>
    <w:p>
      <w:pPr>
        <w:spacing w:after="100"/>
      </w:pPr>
      <w:r>
        <w:t xml:space="preserve">Annually, or after any E&amp;O claim related to client misunderstanding of coverage.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Onboarding SOP Template for Insurance Teams</dc:title>
  <dc:creator>Glyde</dc:creator>
  <dc:description>Free customer onboarding SOP for insurance. Covers policy review, coverage explanation, and client portal setup.</dc:description>
  <cp:lastModifiedBy>Un-named</cp:lastModifiedBy>
  <cp:revision>1</cp:revision>
  <dcterms:created xsi:type="dcterms:W3CDTF">2026-07-22T08:34:35.423Z</dcterms:created>
  <dcterms:modified xsi:type="dcterms:W3CDTF">2026-07-22T08:34:35.423Z</dcterms:modified>
</cp:coreProperties>
</file>

<file path=docProps/custom.xml><?xml version="1.0" encoding="utf-8"?>
<Properties xmlns="http://schemas.openxmlformats.org/officeDocument/2006/custom-properties" xmlns:vt="http://schemas.openxmlformats.org/officeDocument/2006/docPropsVTypes"/>
</file>