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Data Backup &amp; Recovery for Legal</w:t>
      </w:r>
    </w:p>
    <w:p>
      <w:pPr>
        <w:spacing w:after="200"/>
      </w:pPr>
      <w:r>
        <w:rPr>
          <w:i/>
          <w:iCs/>
          <w:color w:val="6B7280"/>
        </w:rPr>
        <w:t xml:space="preserve">Free data backup SOP template for law firms. Covers client file protection, Clio backups, and disaster recovery compliance.</w:t>
      </w:r>
    </w:p>
    <w:p>
      <w:pPr>
        <w:pStyle w:val="Heading2"/>
        <w:spacing w:after="100" w:before="240"/>
      </w:pPr>
      <w:r>
        <w:t xml:space="preserve">Purpose</w:t>
      </w:r>
    </w:p>
    <w:p>
      <w:pPr>
        <w:spacing w:after="100"/>
      </w:pPr>
      <w:r>
        <w:t xml:space="preserve">Protect client files, case data, and trust accounting records from loss due to hardware failure, ransomware, or accidental deletion. Law firms have ethical obligations to safeguard client data — a data loss event that destroys case files can result in malpractice claims and bar complaints. This SOP ensures backups run daily, are verified weekly, and can be restored within 4 hours.</w:t>
      </w:r>
    </w:p>
    <w:p>
      <w:pPr>
        <w:pStyle w:val="Heading2"/>
        <w:spacing w:after="100" w:before="240"/>
      </w:pPr>
      <w:r>
        <w:t xml:space="preserve">Scope</w:t>
      </w:r>
    </w:p>
    <w:p>
      <w:pPr>
        <w:spacing w:after="100"/>
      </w:pPr>
      <w:r>
        <w:t xml:space="preserve">Covers backup procedures for Clio (cloud), NetDocuments (cloud), local file servers, email archives, and trust accounting data. Does not cover physical document storage or off-site paper records.</w:t>
      </w:r>
    </w:p>
    <w:p>
      <w:pPr>
        <w:pStyle w:val="Heading2"/>
        <w:spacing w:after="100" w:before="240"/>
      </w:pPr>
      <w:r>
        <w:t xml:space="preserve">Prerequisites</w:t>
      </w:r>
    </w:p>
    <w:p>
      <w:pPr>
        <w:pStyle w:val="ListParagraph"/>
        <w:numPr>
          <w:ilvl w:val="0"/>
          <w:numId w:val="1"/>
        </w:numPr>
        <w:spacing w:after="40"/>
      </w:pPr>
      <w:r>
        <w:t xml:space="preserve">Clio and NetDocuments cloud backup settings reviewed and documented</w:t>
      </w:r>
    </w:p>
    <w:p>
      <w:pPr>
        <w:pStyle w:val="ListParagraph"/>
        <w:numPr>
          <w:ilvl w:val="0"/>
          <w:numId w:val="1"/>
        </w:numPr>
        <w:spacing w:after="40"/>
      </w:pPr>
      <w:r>
        <w:t xml:space="preserve">Local backup solution (e.g., Veeam, Acronis) installed and configured on file server</w:t>
      </w:r>
    </w:p>
    <w:p>
      <w:pPr>
        <w:pStyle w:val="ListParagraph"/>
        <w:numPr>
          <w:ilvl w:val="0"/>
          <w:numId w:val="1"/>
        </w:numPr>
        <w:spacing w:after="40"/>
      </w:pPr>
      <w:r>
        <w:t xml:space="preserve">Off-site or cloud backup destination established (encrypted, separate from primary)</w:t>
      </w:r>
    </w:p>
    <w:p>
      <w:pPr>
        <w:pStyle w:val="ListParagraph"/>
        <w:numPr>
          <w:ilvl w:val="0"/>
          <w:numId w:val="1"/>
        </w:numPr>
        <w:spacing w:after="40"/>
      </w:pPr>
      <w:r>
        <w:t xml:space="preserve">Data retention schedule aligned with state bar requirements and firm policy</w:t>
      </w:r>
    </w:p>
    <w:p>
      <w:pPr>
        <w:pStyle w:val="ListParagraph"/>
        <w:numPr>
          <w:ilvl w:val="0"/>
          <w:numId w:val="1"/>
        </w:numPr>
        <w:spacing w:after="40"/>
      </w:pPr>
      <w:r>
        <w:t xml:space="preserve">IT administrator or managed service provider under contract</w:t>
      </w:r>
    </w:p>
    <w:p>
      <w:pPr>
        <w:pStyle w:val="Heading2"/>
        <w:spacing w:after="100" w:before="240"/>
      </w:pPr>
      <w:r>
        <w:t xml:space="preserve">Roles &amp; Responsibilities</w:t>
      </w:r>
    </w:p>
    <w:p>
      <w:pPr>
        <w:spacing w:after="40" w:before="120"/>
      </w:pPr>
      <w:r>
        <w:rPr>
          <w:b/>
          <w:bCs/>
        </w:rPr>
        <w:t xml:space="preserve">IT Administrator</w:t>
      </w:r>
    </w:p>
    <w:p>
      <w:pPr>
        <w:pStyle w:val="ListParagraph"/>
        <w:numPr>
          <w:ilvl w:val="0"/>
          <w:numId w:val="1"/>
        </w:numPr>
        <w:spacing w:after="40"/>
      </w:pPr>
      <w:r>
        <w:t xml:space="preserve">Configure and monitor daily automated backup jobs</w:t>
      </w:r>
    </w:p>
    <w:p>
      <w:pPr>
        <w:pStyle w:val="ListParagraph"/>
        <w:numPr>
          <w:ilvl w:val="0"/>
          <w:numId w:val="1"/>
        </w:numPr>
        <w:spacing w:after="40"/>
      </w:pPr>
      <w:r>
        <w:t xml:space="preserve">Run weekly backup verification checks and document results</w:t>
      </w:r>
    </w:p>
    <w:p>
      <w:pPr>
        <w:pStyle w:val="ListParagraph"/>
        <w:numPr>
          <w:ilvl w:val="0"/>
          <w:numId w:val="1"/>
        </w:numPr>
        <w:spacing w:after="40"/>
      </w:pPr>
      <w:r>
        <w:t xml:space="preserve">Conduct quarterly recovery drills and document restoration times</w:t>
      </w:r>
    </w:p>
    <w:p>
      <w:pPr>
        <w:spacing w:after="40" w:before="120"/>
      </w:pPr>
      <w:r>
        <w:rPr>
          <w:b/>
          <w:bCs/>
        </w:rPr>
        <w:t xml:space="preserve">Office Manager</w:t>
      </w:r>
    </w:p>
    <w:p>
      <w:pPr>
        <w:pStyle w:val="ListParagraph"/>
        <w:numPr>
          <w:ilvl w:val="0"/>
          <w:numId w:val="1"/>
        </w:numPr>
        <w:spacing w:after="40"/>
      </w:pPr>
      <w:r>
        <w:t xml:space="preserve">Maintain the data retention schedule per state bar and firm policy</w:t>
      </w:r>
    </w:p>
    <w:p>
      <w:pPr>
        <w:pStyle w:val="ListParagraph"/>
        <w:numPr>
          <w:ilvl w:val="0"/>
          <w:numId w:val="1"/>
        </w:numPr>
        <w:spacing w:after="40"/>
      </w:pPr>
      <w:r>
        <w:t xml:space="preserve">Ensure departing employee data is backed up before account deactivation</w:t>
      </w:r>
    </w:p>
    <w:p>
      <w:pPr>
        <w:pStyle w:val="ListParagraph"/>
        <w:numPr>
          <w:ilvl w:val="0"/>
          <w:numId w:val="1"/>
        </w:numPr>
        <w:spacing w:after="40"/>
      </w:pPr>
      <w:r>
        <w:t xml:space="preserve">Coordinate with managed service provider if IT is outsourced</w:t>
      </w:r>
    </w:p>
    <w:p>
      <w:pPr>
        <w:spacing w:after="40" w:before="120"/>
      </w:pPr>
      <w:r>
        <w:rPr>
          <w:b/>
          <w:bCs/>
        </w:rPr>
        <w:t xml:space="preserve">Managing Partner</w:t>
      </w:r>
    </w:p>
    <w:p>
      <w:pPr>
        <w:pStyle w:val="ListParagraph"/>
        <w:numPr>
          <w:ilvl w:val="0"/>
          <w:numId w:val="1"/>
        </w:numPr>
        <w:spacing w:after="40"/>
      </w:pPr>
      <w:r>
        <w:t xml:space="preserve">Approve the annual backup and disaster recovery plan</w:t>
      </w:r>
    </w:p>
    <w:p>
      <w:pPr>
        <w:pStyle w:val="ListParagraph"/>
        <w:numPr>
          <w:ilvl w:val="0"/>
          <w:numId w:val="1"/>
        </w:numPr>
        <w:spacing w:after="40"/>
      </w:pPr>
      <w:r>
        <w:t xml:space="preserve">Review quarterly recovery drill results</w:t>
      </w:r>
    </w:p>
    <w:p>
      <w:pPr>
        <w:pStyle w:val="ListParagraph"/>
        <w:numPr>
          <w:ilvl w:val="0"/>
          <w:numId w:val="1"/>
        </w:numPr>
        <w:spacing w:after="40"/>
      </w:pPr>
      <w:r>
        <w:t xml:space="preserve">Authorize data restoration requests for critical matters</w:t>
      </w:r>
    </w:p>
    <w:p>
      <w:pPr>
        <w:pStyle w:val="Heading2"/>
        <w:spacing w:after="100" w:before="240"/>
      </w:pPr>
      <w:r>
        <w:t xml:space="preserve">Procedure</w:t>
      </w:r>
    </w:p>
    <w:p>
      <w:pPr>
        <w:pStyle w:val="Heading3"/>
        <w:spacing w:after="40" w:before="160"/>
      </w:pPr>
      <w:r>
        <w:t xml:space="preserve">Step 1: Inventory all data sources and classify by criticality</w:t>
      </w:r>
    </w:p>
    <w:p>
      <w:pPr>
        <w:spacing w:after="100"/>
      </w:pPr>
      <w:r>
        <w:t xml:space="preserve">List every system containing firm data: Clio (matters, contacts, billing, trust accounting), NetDocuments (all client files and work product), Microsoft 365 (email, calendars), local file server (legacy documents), and any practice-specific databases. Classify each as critical (trust data, active matters), important (email archives, templates), or standard (marketing materials, internal docs).</w:t>
      </w:r>
    </w:p>
    <w:p>
      <w:pPr>
        <w:pStyle w:val="ListParagraph"/>
        <w:numPr>
          <w:ilvl w:val="1"/>
          <w:numId w:val="1"/>
        </w:numPr>
        <w:spacing w:after="40"/>
      </w:pPr>
      <w:r>
        <w:t xml:space="preserve">Create a data source inventory spreadsheet</w:t>
      </w:r>
    </w:p>
    <w:p>
      <w:pPr>
        <w:pStyle w:val="ListParagraph"/>
        <w:numPr>
          <w:ilvl w:val="1"/>
          <w:numId w:val="1"/>
        </w:numPr>
        <w:spacing w:after="40"/>
      </w:pPr>
      <w:r>
        <w:t xml:space="preserve">For each source, note: location, backup method, backup frequency, retention period</w:t>
      </w:r>
    </w:p>
    <w:p>
      <w:pPr>
        <w:pStyle w:val="ListParagraph"/>
        <w:numPr>
          <w:ilvl w:val="1"/>
          <w:numId w:val="1"/>
        </w:numPr>
        <w:spacing w:after="40"/>
      </w:pPr>
      <w:r>
        <w:t xml:space="preserve">Mark trust accounting data as highest criticality — bar rules require preservation</w:t>
      </w:r>
    </w:p>
    <w:p>
      <w:pPr>
        <w:pStyle w:val="ListParagraph"/>
        <w:numPr>
          <w:ilvl w:val="1"/>
          <w:numId w:val="1"/>
        </w:numPr>
        <w:spacing w:after="40"/>
      </w:pPr>
      <w:r>
        <w:t xml:space="preserve">Identify any data stored only on individual workstations (this is a risk)</w:t>
      </w:r>
    </w:p>
    <w:p>
      <w:pPr>
        <w:pStyle w:val="Heading3"/>
        <w:spacing w:after="40" w:before="160"/>
      </w:pPr>
      <w:r>
        <w:t xml:space="preserve">Step 2: Configure automated daily backups</w:t>
      </w:r>
    </w:p>
    <w:p>
      <w:pPr>
        <w:spacing w:after="100"/>
      </w:pPr>
      <w:r>
        <w:t xml:space="preserve">Set up automated backup jobs for each data source. Clio and NetDocuments are cloud-hosted with built-in backup, but verify their backup frequency and retention. For the local file server, configure the backup solution to run nightly at 11 PM and copy to an encrypted off-site destination.</w:t>
      </w:r>
    </w:p>
    <w:p>
      <w:pPr>
        <w:pStyle w:val="ListParagraph"/>
        <w:numPr>
          <w:ilvl w:val="1"/>
          <w:numId w:val="1"/>
        </w:numPr>
        <w:spacing w:after="40"/>
      </w:pPr>
      <w:r>
        <w:t xml:space="preserve">Verify Clio's backup settings in Admin &gt; Account Settings</w:t>
      </w:r>
    </w:p>
    <w:p>
      <w:pPr>
        <w:pStyle w:val="ListParagraph"/>
        <w:numPr>
          <w:ilvl w:val="1"/>
          <w:numId w:val="1"/>
        </w:numPr>
        <w:spacing w:after="40"/>
      </w:pPr>
      <w:r>
        <w:t xml:space="preserve">Verify NetDocuments backup and version history settings</w:t>
      </w:r>
    </w:p>
    <w:p>
      <w:pPr>
        <w:pStyle w:val="ListParagraph"/>
        <w:numPr>
          <w:ilvl w:val="1"/>
          <w:numId w:val="1"/>
        </w:numPr>
        <w:spacing w:after="40"/>
      </w:pPr>
      <w:r>
        <w:t xml:space="preserve">Configure Microsoft 365 backup (native retention or third-party like Veeam for M365)</w:t>
      </w:r>
    </w:p>
    <w:p>
      <w:pPr>
        <w:pStyle w:val="ListParagraph"/>
        <w:numPr>
          <w:ilvl w:val="1"/>
          <w:numId w:val="1"/>
        </w:numPr>
        <w:spacing w:after="40"/>
      </w:pPr>
      <w:r>
        <w:t xml:space="preserve">Set local file server backup to run nightly with 30-day retention</w:t>
      </w:r>
    </w:p>
    <w:p>
      <w:pPr>
        <w:spacing w:after="100"/>
      </w:pPr>
      <w:r>
        <w:rPr>
          <w:i/>
          <w:iCs/>
          <w:color w:val="B45309"/>
        </w:rPr>
        <w:t xml:space="preserve">Warning: Cloud apps like Clio have their own backup, but their retention windows may be shorter than your state bar requires. Verify that Clio's data retention aligns with your state's record retention rules — some states require 7+ years.</w:t>
      </w:r>
    </w:p>
    <w:p>
      <w:pPr>
        <w:pStyle w:val="Heading3"/>
        <w:spacing w:after="40" w:before="160"/>
      </w:pPr>
      <w:r>
        <w:t xml:space="preserve">Step 3: Verify backups weekly</w:t>
      </w:r>
    </w:p>
    <w:p>
      <w:pPr>
        <w:spacing w:after="100"/>
      </w:pPr>
      <w:r>
        <w:t xml:space="preserve">Every Monday morning, the IT administrator checks that all backup jobs completed successfully over the previous week. Open each backup solution's dashboard, verify job completion status, check for errors or warnings, and document the results in the backup log spreadsheet.</w:t>
      </w:r>
    </w:p>
    <w:p>
      <w:pPr>
        <w:pStyle w:val="ListParagraph"/>
        <w:numPr>
          <w:ilvl w:val="1"/>
          <w:numId w:val="1"/>
        </w:numPr>
        <w:spacing w:after="40"/>
      </w:pPr>
      <w:r>
        <w:t xml:space="preserve">Check Clio account status and confirm no data sync errors</w:t>
      </w:r>
    </w:p>
    <w:p>
      <w:pPr>
        <w:pStyle w:val="ListParagraph"/>
        <w:numPr>
          <w:ilvl w:val="1"/>
          <w:numId w:val="1"/>
        </w:numPr>
        <w:spacing w:after="40"/>
      </w:pPr>
      <w:r>
        <w:t xml:space="preserve">Review NetDocuments audit log for any access or sync issues</w:t>
      </w:r>
    </w:p>
    <w:p>
      <w:pPr>
        <w:pStyle w:val="ListParagraph"/>
        <w:numPr>
          <w:ilvl w:val="1"/>
          <w:numId w:val="1"/>
        </w:numPr>
        <w:spacing w:after="40"/>
      </w:pPr>
      <w:r>
        <w:t xml:space="preserve">Open the local backup solution dashboard and verify 7 successful nightly runs</w:t>
      </w:r>
    </w:p>
    <w:p>
      <w:pPr>
        <w:pStyle w:val="ListParagraph"/>
        <w:numPr>
          <w:ilvl w:val="1"/>
          <w:numId w:val="1"/>
        </w:numPr>
        <w:spacing w:after="40"/>
      </w:pPr>
      <w:r>
        <w:t xml:space="preserve">Log results in the weekly backup verification spreadsheet</w:t>
      </w:r>
    </w:p>
    <w:p>
      <w:pPr>
        <w:spacing w:after="100"/>
      </w:pPr>
      <w:r>
        <w:rPr>
          <w:i/>
          <w:iCs/>
          <w:color w:val="1F7A4D"/>
        </w:rPr>
        <w:t xml:space="preserve">Tip: Set up email alerts for backup failures so you don't find out about a problem only during the weekly check. Most backup tools support this natively.</w:t>
      </w:r>
    </w:p>
    <w:p>
      <w:pPr>
        <w:pStyle w:val="Heading3"/>
        <w:spacing w:after="40" w:before="160"/>
      </w:pPr>
      <w:r>
        <w:t xml:space="preserve">Step 4: Test recovery quarterly</w:t>
      </w:r>
    </w:p>
    <w:p>
      <w:pPr>
        <w:spacing w:after="100"/>
      </w:pPr>
      <w:r>
        <w:t xml:space="preserve">Every quarter, perform a test restoration of a random client matter to verify that backups are actually restorable. Pick one matter from Clio (including all associated NetDocuments files) and restore it to a test environment. Time the process. Document the results including any issues encountered.</w:t>
      </w:r>
    </w:p>
    <w:p>
      <w:pPr>
        <w:pStyle w:val="ListParagraph"/>
        <w:numPr>
          <w:ilvl w:val="1"/>
          <w:numId w:val="1"/>
        </w:numPr>
        <w:spacing w:after="40"/>
      </w:pPr>
      <w:r>
        <w:t xml:space="preserve">Select a random matter from 6+ months ago</w:t>
      </w:r>
    </w:p>
    <w:p>
      <w:pPr>
        <w:pStyle w:val="ListParagraph"/>
        <w:numPr>
          <w:ilvl w:val="1"/>
          <w:numId w:val="1"/>
        </w:numPr>
        <w:spacing w:after="40"/>
      </w:pPr>
      <w:r>
        <w:t xml:space="preserve">Restore the Clio matter data to a test environment</w:t>
      </w:r>
    </w:p>
    <w:p>
      <w:pPr>
        <w:pStyle w:val="ListParagraph"/>
        <w:numPr>
          <w:ilvl w:val="1"/>
          <w:numId w:val="1"/>
        </w:numPr>
        <w:spacing w:after="40"/>
      </w:pPr>
      <w:r>
        <w:t xml:space="preserve">Restore associated documents from NetDocuments backup</w:t>
      </w:r>
    </w:p>
    <w:p>
      <w:pPr>
        <w:pStyle w:val="ListParagraph"/>
        <w:numPr>
          <w:ilvl w:val="1"/>
          <w:numId w:val="1"/>
        </w:numPr>
        <w:spacing w:after="40"/>
      </w:pPr>
      <w:r>
        <w:t xml:space="preserve">Verify that all files open correctly and data is intact</w:t>
      </w:r>
    </w:p>
    <w:p>
      <w:pPr>
        <w:pStyle w:val="ListParagraph"/>
        <w:numPr>
          <w:ilvl w:val="1"/>
          <w:numId w:val="1"/>
        </w:numPr>
        <w:spacing w:after="40"/>
      </w:pPr>
      <w:r>
        <w:t xml:space="preserve">Record restoration time and any issues in the recovery drill log</w:t>
      </w:r>
    </w:p>
    <w:p>
      <w:pPr>
        <w:spacing w:after="100"/>
      </w:pPr>
      <w:r>
        <w:rPr>
          <w:i/>
          <w:iCs/>
          <w:color w:val="B45309"/>
        </w:rPr>
        <w:t xml:space="preserve">Warning: A backup that can't be restored is not a backup. Firms that skip recovery testing often discover their backups are corrupted or incomplete only when they actually need them — which is the worst possible time.</w:t>
      </w:r>
    </w:p>
    <w:p>
      <w:pPr>
        <w:pStyle w:val="Heading3"/>
        <w:spacing w:after="40" w:before="160"/>
      </w:pPr>
      <w:r>
        <w:t xml:space="preserve">Step 5: Maintain the data retention schedule</w:t>
      </w:r>
    </w:p>
    <w:p>
      <w:pPr>
        <w:spacing w:after="100"/>
      </w:pPr>
      <w:r>
        <w:t xml:space="preserve">Cross-reference the firm's data retention schedule with state bar requirements. Most state bars require client files to be retained for 5-7 years after matter closure. Trust account records typically require 7+ years. Archive closed matter data according to the schedule but do not delete until the retention period expires.</w:t>
      </w:r>
    </w:p>
    <w:p>
      <w:pPr>
        <w:pStyle w:val="ListParagraph"/>
        <w:numPr>
          <w:ilvl w:val="1"/>
          <w:numId w:val="1"/>
        </w:numPr>
        <w:spacing w:after="40"/>
      </w:pPr>
      <w:r>
        <w:t xml:space="preserve">Review state bar retention requirements annually</w:t>
      </w:r>
    </w:p>
    <w:p>
      <w:pPr>
        <w:pStyle w:val="ListParagraph"/>
        <w:numPr>
          <w:ilvl w:val="1"/>
          <w:numId w:val="1"/>
        </w:numPr>
        <w:spacing w:after="40"/>
      </w:pPr>
      <w:r>
        <w:t xml:space="preserve">Archive closed matters in Clio (move to archived status, don't delete)</w:t>
      </w:r>
    </w:p>
    <w:p>
      <w:pPr>
        <w:pStyle w:val="ListParagraph"/>
        <w:numPr>
          <w:ilvl w:val="1"/>
          <w:numId w:val="1"/>
        </w:numPr>
        <w:spacing w:after="40"/>
      </w:pPr>
      <w:r>
        <w:t xml:space="preserve">Ensure archived matter documents remain in NetDocuments with read-only access</w:t>
      </w:r>
    </w:p>
    <w:p>
      <w:pPr>
        <w:pStyle w:val="ListParagraph"/>
        <w:numPr>
          <w:ilvl w:val="1"/>
          <w:numId w:val="1"/>
        </w:numPr>
        <w:spacing w:after="40"/>
      </w:pPr>
      <w:r>
        <w:t xml:space="preserve">Set calendar reminders for retention period expiration dates</w:t>
      </w:r>
    </w:p>
    <w:p>
      <w:pPr>
        <w:pStyle w:val="Heading3"/>
        <w:spacing w:after="40" w:before="160"/>
      </w:pPr>
      <w:r>
        <w:t xml:space="preserve">Step 6: Document the disaster recovery plan</w:t>
      </w:r>
    </w:p>
    <w:p>
      <w:pPr>
        <w:spacing w:after="100"/>
      </w:pPr>
      <w:r>
        <w:t xml:space="preserve">Maintain a written disaster recovery plan that covers: how to restore operations if the primary office is inaccessible, how to access cloud systems from remote locations, contact information for Clio support, NetDocuments support, and the managed IT provider. Store a copy of this plan outside of the systems it describes — print a copy and give one to the managing partner.</w:t>
      </w:r>
    </w:p>
    <w:p>
      <w:pPr>
        <w:pStyle w:val="ListParagraph"/>
        <w:numPr>
          <w:ilvl w:val="1"/>
          <w:numId w:val="1"/>
        </w:numPr>
        <w:spacing w:after="40"/>
      </w:pPr>
      <w:r>
        <w:t xml:space="preserve">Document step-by-step restoration procedures for each system</w:t>
      </w:r>
    </w:p>
    <w:p>
      <w:pPr>
        <w:pStyle w:val="ListParagraph"/>
        <w:numPr>
          <w:ilvl w:val="1"/>
          <w:numId w:val="1"/>
        </w:numPr>
        <w:spacing w:after="40"/>
      </w:pPr>
      <w:r>
        <w:t xml:space="preserve">Include vendor support contact numbers and account IDs</w:t>
      </w:r>
    </w:p>
    <w:p>
      <w:pPr>
        <w:pStyle w:val="ListParagraph"/>
        <w:numPr>
          <w:ilvl w:val="1"/>
          <w:numId w:val="1"/>
        </w:numPr>
        <w:spacing w:after="40"/>
      </w:pPr>
      <w:r>
        <w:t xml:space="preserve">Store a printed copy at the managing partner's residence</w:t>
      </w:r>
    </w:p>
    <w:p>
      <w:pPr>
        <w:pStyle w:val="ListParagraph"/>
        <w:numPr>
          <w:ilvl w:val="1"/>
          <w:numId w:val="1"/>
        </w:numPr>
        <w:spacing w:after="40"/>
      </w:pPr>
      <w:r>
        <w:t xml:space="preserve">Store a digital copy in a personal cloud drive separate from firm systems</w:t>
      </w:r>
    </w:p>
    <w:p>
      <w:pPr>
        <w:pStyle w:val="ListParagraph"/>
        <w:numPr>
          <w:ilvl w:val="1"/>
          <w:numId w:val="1"/>
        </w:numPr>
        <w:spacing w:after="40"/>
      </w:pPr>
      <w:r>
        <w:t xml:space="preserve">Review and update the plan annually</w:t>
      </w:r>
    </w:p>
    <w:p>
      <w:pPr>
        <w:pStyle w:val="Heading2"/>
        <w:spacing w:after="100" w:before="240"/>
      </w:pPr>
      <w:r>
        <w:t xml:space="preserve">Completion Checklist</w:t>
      </w:r>
    </w:p>
    <w:p>
      <w:pPr>
        <w:spacing w:after="40"/>
      </w:pPr>
      <w:r>
        <w:t xml:space="preserve">☐  Data source inventory completed and classified by criticality</w:t>
      </w:r>
    </w:p>
    <w:p>
      <w:pPr>
        <w:spacing w:after="40"/>
      </w:pPr>
      <w:r>
        <w:t xml:space="preserve">☐  Automated daily backups configured for all data sources</w:t>
      </w:r>
    </w:p>
    <w:p>
      <w:pPr>
        <w:spacing w:after="40"/>
      </w:pPr>
      <w:r>
        <w:t xml:space="preserve">☐  Clio backup settings verified and aligned with retention requirements</w:t>
      </w:r>
    </w:p>
    <w:p>
      <w:pPr>
        <w:spacing w:after="40"/>
      </w:pPr>
      <w:r>
        <w:t xml:space="preserve">☐  NetDocuments backup and version history settings confirmed</w:t>
      </w:r>
    </w:p>
    <w:p>
      <w:pPr>
        <w:spacing w:after="40"/>
      </w:pPr>
      <w:r>
        <w:t xml:space="preserve">☐  Microsoft 365 backup configured (native or third-party)</w:t>
      </w:r>
    </w:p>
    <w:p>
      <w:pPr>
        <w:spacing w:after="40"/>
      </w:pPr>
      <w:r>
        <w:t xml:space="preserve">☐  Local file server nightly backup running with off-site copy</w:t>
      </w:r>
    </w:p>
    <w:p>
      <w:pPr>
        <w:spacing w:after="40"/>
      </w:pPr>
      <w:r>
        <w:t xml:space="preserve">☐  Weekly backup verification checks documented</w:t>
      </w:r>
    </w:p>
    <w:p>
      <w:pPr>
        <w:spacing w:after="40"/>
      </w:pPr>
      <w:r>
        <w:t xml:space="preserve">☐  Quarterly recovery drill completed with documented results</w:t>
      </w:r>
    </w:p>
    <w:p>
      <w:pPr>
        <w:spacing w:after="40"/>
      </w:pPr>
      <w:r>
        <w:t xml:space="preserve">☐  Data retention schedule aligned with state bar requirements</w:t>
      </w:r>
    </w:p>
    <w:p>
      <w:pPr>
        <w:spacing w:after="40"/>
      </w:pPr>
      <w:r>
        <w:t xml:space="preserve">☐  Disaster recovery plan documented and stored off-site</w:t>
      </w:r>
    </w:p>
    <w:p>
      <w:pPr>
        <w:spacing w:after="40"/>
      </w:pPr>
      <w:r>
        <w:t xml:space="preserve">☐  Backup failure alerts configured for all systems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Backup job success rate</w:t>
            </w:r>
          </w:p>
        </w:tc>
        <w:tc>
          <w:tcPr>
            <w:tcMar>
              <w:top w:type="dxa" w:w="60"/>
              <w:left w:type="dxa" w:w="120"/>
              <w:bottom w:type="dxa" w:w="60"/>
              <w:right w:type="dxa" w:w="120"/>
            </w:tcMar>
          </w:tcPr>
          <w:p>
            <w:r>
              <w:rPr>
                <w:b w:val="false"/>
                <w:bCs w:val="false"/>
              </w:rPr>
              <w:t xml:space="preserve">99.5% or higher over 30 days</w:t>
            </w:r>
          </w:p>
        </w:tc>
      </w:tr>
      <w:tr>
        <w:trPr>
          <w:tblHeader w:val="false"/>
        </w:trPr>
        <w:tc>
          <w:tcPr>
            <w:tcMar>
              <w:top w:type="dxa" w:w="60"/>
              <w:left w:type="dxa" w:w="120"/>
              <w:bottom w:type="dxa" w:w="60"/>
              <w:right w:type="dxa" w:w="120"/>
            </w:tcMar>
          </w:tcPr>
          <w:p>
            <w:r>
              <w:rPr>
                <w:b w:val="false"/>
                <w:bCs w:val="false"/>
              </w:rPr>
              <w:t xml:space="preserve">Recovery time for a single matter</w:t>
            </w:r>
          </w:p>
        </w:tc>
        <w:tc>
          <w:tcPr>
            <w:tcMar>
              <w:top w:type="dxa" w:w="60"/>
              <w:left w:type="dxa" w:w="120"/>
              <w:bottom w:type="dxa" w:w="60"/>
              <w:right w:type="dxa" w:w="120"/>
            </w:tcMar>
          </w:tcPr>
          <w:p>
            <w:r>
              <w:rPr>
                <w:b w:val="false"/>
                <w:bCs w:val="false"/>
              </w:rPr>
              <w:t xml:space="preserve">Under 4 hours</w:t>
            </w:r>
          </w:p>
        </w:tc>
      </w:tr>
      <w:tr>
        <w:trPr>
          <w:tblHeader w:val="false"/>
        </w:trPr>
        <w:tc>
          <w:tcPr>
            <w:tcMar>
              <w:top w:type="dxa" w:w="60"/>
              <w:left w:type="dxa" w:w="120"/>
              <w:bottom w:type="dxa" w:w="60"/>
              <w:right w:type="dxa" w:w="120"/>
            </w:tcMar>
          </w:tcPr>
          <w:p>
            <w:r>
              <w:rPr>
                <w:b w:val="false"/>
                <w:bCs w:val="false"/>
              </w:rPr>
              <w:t xml:space="preserve">Recovery drill frequency</w:t>
            </w:r>
          </w:p>
        </w:tc>
        <w:tc>
          <w:tcPr>
            <w:tcMar>
              <w:top w:type="dxa" w:w="60"/>
              <w:left w:type="dxa" w:w="120"/>
              <w:bottom w:type="dxa" w:w="60"/>
              <w:right w:type="dxa" w:w="120"/>
            </w:tcMar>
          </w:tcPr>
          <w:p>
            <w:r>
              <w:rPr>
                <w:b w:val="false"/>
                <w:bCs w:val="false"/>
              </w:rPr>
              <w:t xml:space="preserve">Quarterly (4 per year)</w:t>
            </w:r>
          </w:p>
        </w:tc>
      </w:tr>
      <w:tr>
        <w:trPr>
          <w:tblHeader w:val="false"/>
        </w:trPr>
        <w:tc>
          <w:tcPr>
            <w:tcMar>
              <w:top w:type="dxa" w:w="60"/>
              <w:left w:type="dxa" w:w="120"/>
              <w:bottom w:type="dxa" w:w="60"/>
              <w:right w:type="dxa" w:w="120"/>
            </w:tcMar>
          </w:tcPr>
          <w:p>
            <w:r>
              <w:rPr>
                <w:b w:val="false"/>
                <w:bCs w:val="false"/>
              </w:rPr>
              <w:t xml:space="preserve">Time to detect backup failure</w:t>
            </w:r>
          </w:p>
        </w:tc>
        <w:tc>
          <w:tcPr>
            <w:tcMar>
              <w:top w:type="dxa" w:w="60"/>
              <w:left w:type="dxa" w:w="120"/>
              <w:bottom w:type="dxa" w:w="60"/>
              <w:right w:type="dxa" w:w="120"/>
            </w:tcMar>
          </w:tcPr>
          <w:p>
            <w:r>
              <w:rPr>
                <w:b w:val="false"/>
                <w:bCs w:val="false"/>
              </w:rPr>
              <w:t xml:space="preserve">Under 24 hours via automated alerts</w:t>
            </w:r>
          </w:p>
        </w:tc>
      </w:tr>
    </w:tbl>
    <w:p>
      <w:pPr>
        <w:pStyle w:val="Heading2"/>
        <w:spacing w:after="100" w:before="240"/>
      </w:pPr>
      <w:r>
        <w:t xml:space="preserve">Revision Schedule</w:t>
      </w:r>
    </w:p>
    <w:p>
      <w:pPr>
        <w:spacing w:after="100"/>
      </w:pPr>
      <w:r>
        <w:t xml:space="preserve">Annually, or immediately after any system migration, ransomware incident, or change to state bar data retention rules.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Data Backup &amp; Recovery for Legal</dc:title>
  <dc:creator>Glyde</dc:creator>
  <dc:description>Free data backup SOP template for law firms. Covers client file protection, Clio backups, and disaster recovery compliance.</dc:description>
  <cp:lastModifiedBy>Un-named</cp:lastModifiedBy>
  <cp:revision>1</cp:revision>
  <dcterms:created xsi:type="dcterms:W3CDTF">2026-07-22T08:34:35.493Z</dcterms:created>
  <dcterms:modified xsi:type="dcterms:W3CDTF">2026-07-22T08:34:35.493Z</dcterms:modified>
</cp:coreProperties>
</file>

<file path=docProps/custom.xml><?xml version="1.0" encoding="utf-8"?>
<Properties xmlns="http://schemas.openxmlformats.org/officeDocument/2006/custom-properties" xmlns:vt="http://schemas.openxmlformats.org/officeDocument/2006/docPropsVTypes"/>
</file>