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Accounting &amp; Bookkeeping</w:t>
      </w:r>
    </w:p>
    <w:p>
      <w:pPr>
        <w:spacing w:after="200"/>
      </w:pPr>
      <w:r>
        <w:rPr>
          <w:i/>
          <w:iCs/>
          <w:color w:val="6B7280"/>
        </w:rPr>
        <w:t xml:space="preserve">Free Employee Onboarding SOP template designed for Accounting &amp; Bookkeeping HR teams. Includes step-by-step procedures, checklist, roles, and KPIs.</w:t>
      </w:r>
    </w:p>
    <w:p>
      <w:pPr>
        <w:pStyle w:val="Heading2"/>
        <w:spacing w:after="100" w:before="240"/>
      </w:pPr>
      <w:r>
        <w:t xml:space="preserve">Purpose</w:t>
      </w:r>
    </w:p>
    <w:p>
      <w:pPr>
        <w:spacing w:after="100"/>
      </w:pPr>
      <w:r>
        <w:t xml:space="preserve">Establish a repeatable process for onboarding new hires at accounting and bookkeeping firms, ensuring every staff accountant, bookkeeper, or tax preparer gains access to the correct tools, understands GAAP and IRS compliance requirements, and reaches productivity within their first 90 days.</w:t>
      </w:r>
    </w:p>
    <w:p>
      <w:pPr>
        <w:pStyle w:val="Heading2"/>
        <w:spacing w:after="100" w:before="240"/>
      </w:pPr>
      <w:r>
        <w:t xml:space="preserve">Scope</w:t>
      </w:r>
    </w:p>
    <w:p>
      <w:pPr>
        <w:spacing w:after="100"/>
      </w:pPr>
      <w:r>
        <w:t xml:space="preserve">Covers pre-arrival setup through the 90-day milestone for all accounting and bookkeeping roles, including staff accountants, bookkeepers, and tax managers.</w:t>
      </w:r>
    </w:p>
    <w:p>
      <w:pPr>
        <w:pStyle w:val="Heading2"/>
        <w:spacing w:after="100" w:before="240"/>
      </w:pPr>
      <w:r>
        <w:t xml:space="preserve">Prerequisites</w:t>
      </w:r>
    </w:p>
    <w:p>
      <w:pPr>
        <w:pStyle w:val="ListParagraph"/>
        <w:numPr>
          <w:ilvl w:val="0"/>
          <w:numId w:val="1"/>
        </w:numPr>
        <w:spacing w:after="40"/>
      </w:pPr>
      <w:r>
        <w:t xml:space="preserve">Signed offer letter and completed I-9 and W-4 forms on file</w:t>
      </w:r>
    </w:p>
    <w:p>
      <w:pPr>
        <w:pStyle w:val="ListParagraph"/>
        <w:numPr>
          <w:ilvl w:val="0"/>
          <w:numId w:val="1"/>
        </w:numPr>
        <w:spacing w:after="40"/>
      </w:pPr>
      <w:r>
        <w:t xml:space="preserve">Active QuickBooks Online or Xero subscription with available user seat</w:t>
      </w:r>
    </w:p>
    <w:p>
      <w:pPr>
        <w:pStyle w:val="ListParagraph"/>
        <w:numPr>
          <w:ilvl w:val="0"/>
          <w:numId w:val="1"/>
        </w:numPr>
        <w:spacing w:after="40"/>
      </w:pPr>
      <w:r>
        <w:t xml:space="preserve">Karbon or CCH Axcess workspace configured for the new hire's client portfolio</w:t>
      </w:r>
    </w:p>
    <w:p>
      <w:pPr>
        <w:pStyle w:val="ListParagraph"/>
        <w:numPr>
          <w:ilvl w:val="0"/>
          <w:numId w:val="1"/>
        </w:numPr>
        <w:spacing w:after="40"/>
      </w:pPr>
      <w:r>
        <w:t xml:space="preserve">Firm-specific GAAP reference manual and internal policy handbook printed or digitally shared</w:t>
      </w:r>
    </w:p>
    <w:p>
      <w:pPr>
        <w:pStyle w:val="ListParagraph"/>
        <w:numPr>
          <w:ilvl w:val="0"/>
          <w:numId w:val="1"/>
        </w:numPr>
        <w:spacing w:after="40"/>
      </w:pPr>
      <w:r>
        <w:t xml:space="preserve">IT request submitted for laptop, dual monitors, and VPN credentials</w:t>
      </w:r>
    </w:p>
    <w:p>
      <w:pPr>
        <w:pStyle w:val="ListParagraph"/>
        <w:numPr>
          <w:ilvl w:val="0"/>
          <w:numId w:val="1"/>
        </w:numPr>
        <w:spacing w:after="40"/>
      </w:pPr>
      <w:r>
        <w:t xml:space="preserve">Assigned mentor or buddy from the same department</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Send pre-arrival welcome packet with tax forms and benefits enrollment instructions</w:t>
      </w:r>
    </w:p>
    <w:p>
      <w:pPr>
        <w:pStyle w:val="ListParagraph"/>
        <w:numPr>
          <w:ilvl w:val="0"/>
          <w:numId w:val="1"/>
        </w:numPr>
        <w:spacing w:after="40"/>
      </w:pPr>
      <w:r>
        <w:t xml:space="preserve">Schedule orientation sessions and coordinate with IT for equipment provisioning</w:t>
      </w:r>
    </w:p>
    <w:p>
      <w:pPr>
        <w:pStyle w:val="ListParagraph"/>
        <w:numPr>
          <w:ilvl w:val="0"/>
          <w:numId w:val="1"/>
        </w:numPr>
        <w:spacing w:after="40"/>
      </w:pPr>
      <w:r>
        <w:t xml:space="preserve">Track completion of all onboarding milestones in the HR system</w:t>
      </w:r>
    </w:p>
    <w:p>
      <w:pPr>
        <w:spacing w:after="40" w:before="120"/>
      </w:pPr>
      <w:r>
        <w:rPr>
          <w:b/>
          <w:bCs/>
        </w:rPr>
        <w:t xml:space="preserve">Practice Manager</w:t>
      </w:r>
    </w:p>
    <w:p>
      <w:pPr>
        <w:pStyle w:val="ListParagraph"/>
        <w:numPr>
          <w:ilvl w:val="0"/>
          <w:numId w:val="1"/>
        </w:numPr>
        <w:spacing w:after="40"/>
      </w:pPr>
      <w:r>
        <w:t xml:space="preserve">Assign initial client portfolio and walk through active engagements in Karbon</w:t>
      </w:r>
    </w:p>
    <w:p>
      <w:pPr>
        <w:pStyle w:val="ListParagraph"/>
        <w:numPr>
          <w:ilvl w:val="0"/>
          <w:numId w:val="1"/>
        </w:numPr>
        <w:spacing w:after="40"/>
      </w:pPr>
      <w:r>
        <w:t xml:space="preserve">Review firm-specific GAAP interpretations and documentation standards</w:t>
      </w:r>
    </w:p>
    <w:p>
      <w:pPr>
        <w:pStyle w:val="ListParagraph"/>
        <w:numPr>
          <w:ilvl w:val="0"/>
          <w:numId w:val="1"/>
        </w:numPr>
        <w:spacing w:after="40"/>
      </w:pPr>
      <w:r>
        <w:t xml:space="preserve">Conduct weekly one-on-one check-ins during the first 90 days</w:t>
      </w:r>
    </w:p>
    <w:p>
      <w:pPr>
        <w:spacing w:after="40" w:before="120"/>
      </w:pPr>
      <w:r>
        <w:rPr>
          <w:b/>
          <w:bCs/>
        </w:rPr>
        <w:t xml:space="preserve">IT Administrator</w:t>
      </w:r>
    </w:p>
    <w:p>
      <w:pPr>
        <w:pStyle w:val="ListParagraph"/>
        <w:numPr>
          <w:ilvl w:val="0"/>
          <w:numId w:val="1"/>
        </w:numPr>
        <w:spacing w:after="40"/>
      </w:pPr>
      <w:r>
        <w:t xml:space="preserve">Provision QuickBooks, Xero, Karbon, and CCH Axcess accounts with role-appropriate permissions</w:t>
      </w:r>
    </w:p>
    <w:p>
      <w:pPr>
        <w:pStyle w:val="ListParagraph"/>
        <w:numPr>
          <w:ilvl w:val="0"/>
          <w:numId w:val="1"/>
        </w:numPr>
        <w:spacing w:after="40"/>
      </w:pPr>
      <w:r>
        <w:t xml:space="preserve">Configure VPN access and set up multi-factor authentication for all financial systems</w:t>
      </w:r>
    </w:p>
    <w:p>
      <w:pPr>
        <w:pStyle w:val="ListParagraph"/>
        <w:numPr>
          <w:ilvl w:val="0"/>
          <w:numId w:val="1"/>
        </w:numPr>
        <w:spacing w:after="40"/>
      </w:pPr>
      <w:r>
        <w:t xml:space="preserve">Verify the new hire's workstation meets firm security and backup policies</w:t>
      </w:r>
    </w:p>
    <w:p>
      <w:pPr>
        <w:spacing w:after="40" w:before="120"/>
      </w:pPr>
      <w:r>
        <w:rPr>
          <w:b/>
          <w:bCs/>
        </w:rPr>
        <w:t xml:space="preserve">Assigned Mentor</w:t>
      </w:r>
    </w:p>
    <w:p>
      <w:pPr>
        <w:pStyle w:val="ListParagraph"/>
        <w:numPr>
          <w:ilvl w:val="0"/>
          <w:numId w:val="1"/>
        </w:numPr>
        <w:spacing w:after="40"/>
      </w:pPr>
      <w:r>
        <w:t xml:space="preserve">Shadow the new hire during their first client reconciliation in QuickBooks</w:t>
      </w:r>
    </w:p>
    <w:p>
      <w:pPr>
        <w:pStyle w:val="ListParagraph"/>
        <w:numPr>
          <w:ilvl w:val="0"/>
          <w:numId w:val="1"/>
        </w:numPr>
        <w:spacing w:after="40"/>
      </w:pPr>
      <w:r>
        <w:t xml:space="preserve">Answer day-to-day questions about firm workflows and client communication norms</w:t>
      </w:r>
    </w:p>
    <w:p>
      <w:pPr>
        <w:pStyle w:val="ListParagraph"/>
        <w:numPr>
          <w:ilvl w:val="0"/>
          <w:numId w:val="1"/>
        </w:numPr>
        <w:spacing w:after="40"/>
      </w:pPr>
      <w:r>
        <w:t xml:space="preserve">Provide informal feedback to the practice manager after weeks 2, 4, and 8</w:t>
      </w:r>
    </w:p>
    <w:p>
      <w:pPr>
        <w:pStyle w:val="Heading2"/>
        <w:spacing w:after="100" w:before="240"/>
      </w:pPr>
      <w:r>
        <w:t xml:space="preserve">Procedure</w:t>
      </w:r>
    </w:p>
    <w:p>
      <w:pPr>
        <w:pStyle w:val="Heading3"/>
        <w:spacing w:after="40" w:before="160"/>
      </w:pPr>
      <w:r>
        <w:t xml:space="preserve">Step 1: Complete Pre-Arrival Documentation</w:t>
      </w:r>
    </w:p>
    <w:p>
      <w:pPr>
        <w:spacing w:after="100"/>
      </w:pPr>
      <w:r>
        <w:t xml:space="preserve">Collect signed offer letter, completed W-4, I-9 with identity verification, and state tax withholding forms. Upload all documents to the firm's HR system and confirm benefits enrollment deadlines.</w:t>
      </w:r>
    </w:p>
    <w:p>
      <w:pPr>
        <w:spacing w:after="100"/>
      </w:pPr>
      <w:r>
        <w:rPr>
          <w:i/>
          <w:iCs/>
          <w:color w:val="1F7A4D"/>
        </w:rPr>
        <w:t xml:space="preserve">Tip: Send a pre-arrival email with links to IRS Form W-4 and your state's withholding form at least 5 business days before the start date to avoid first-week paperwork bottlenecks.</w:t>
      </w:r>
    </w:p>
    <w:p>
      <w:pPr>
        <w:pStyle w:val="Heading3"/>
        <w:spacing w:after="40" w:before="160"/>
      </w:pPr>
      <w:r>
        <w:t xml:space="preserve">Step 2: Provision Accounting Software Access</w:t>
      </w:r>
    </w:p>
    <w:p>
      <w:pPr>
        <w:spacing w:after="100"/>
      </w:pPr>
      <w:r>
        <w:t xml:space="preserve">Create user accounts in QuickBooks Online (or Xero) with the appropriate role: 'Standard User' for staff accountants, 'Reports Only' for junior bookkeepers. Add the new hire to the firm's Karbon workspace and assign their client list. Set up CCH Axcess credentials if the hire will handle tax preparation.</w:t>
      </w:r>
    </w:p>
    <w:p>
      <w:pPr>
        <w:pStyle w:val="ListParagraph"/>
        <w:numPr>
          <w:ilvl w:val="1"/>
          <w:numId w:val="1"/>
        </w:numPr>
        <w:spacing w:after="40"/>
      </w:pPr>
      <w:r>
        <w:t xml:space="preserve">Log into QuickBooks Online admin panel and invite the user under Manage Users</w:t>
      </w:r>
    </w:p>
    <w:p>
      <w:pPr>
        <w:pStyle w:val="ListParagraph"/>
        <w:numPr>
          <w:ilvl w:val="1"/>
          <w:numId w:val="1"/>
        </w:numPr>
        <w:spacing w:after="40"/>
      </w:pPr>
      <w:r>
        <w:t xml:space="preserve">In Karbon, add the user to the correct team and assign their initial client contacts</w:t>
      </w:r>
    </w:p>
    <w:p>
      <w:pPr>
        <w:pStyle w:val="ListParagraph"/>
        <w:numPr>
          <w:ilvl w:val="1"/>
          <w:numId w:val="1"/>
        </w:numPr>
        <w:spacing w:after="40"/>
      </w:pPr>
      <w:r>
        <w:t xml:space="preserve">In CCH Axcess, create a user profile and link to the relevant tax return templates</w:t>
      </w:r>
    </w:p>
    <w:p>
      <w:pPr>
        <w:pStyle w:val="ListParagraph"/>
        <w:numPr>
          <w:ilvl w:val="1"/>
          <w:numId w:val="1"/>
        </w:numPr>
        <w:spacing w:after="40"/>
      </w:pPr>
      <w:r>
        <w:t xml:space="preserve">Enable multi-factor authentication on all accounts before sharing credentials</w:t>
      </w:r>
    </w:p>
    <w:p>
      <w:pPr>
        <w:spacing w:after="100"/>
      </w:pPr>
      <w:r>
        <w:rPr>
          <w:i/>
          <w:iCs/>
          <w:color w:val="B45309"/>
        </w:rPr>
        <w:t xml:space="preserve">Warning: Never grant admin-level access in QuickBooks or Xero during the first 30 days. New hires should operate under supervised permissions until the practice manager confirms they can handle unsupervised journal entries.</w:t>
      </w:r>
    </w:p>
    <w:p>
      <w:pPr>
        <w:pStyle w:val="Heading3"/>
        <w:spacing w:after="40" w:before="160"/>
      </w:pPr>
      <w:r>
        <w:t xml:space="preserve">Step 3: Deliver Firm Orientation</w:t>
      </w:r>
    </w:p>
    <w:p>
      <w:pPr>
        <w:spacing w:after="100"/>
      </w:pPr>
      <w:r>
        <w:t xml:space="preserve">Walk the new hire through the firm's organizational chart, client engagement model, and internal communication channels (Slack, Teams, or email conventions). Cover the firm's approach to GAAP compliance, IRS filing deadlines, and state-specific tax requirements relevant to your client base.</w:t>
      </w:r>
    </w:p>
    <w:p>
      <w:pPr>
        <w:spacing w:after="100"/>
      </w:pPr>
      <w:r>
        <w:rPr>
          <w:i/>
          <w:iCs/>
          <w:color w:val="1F7A4D"/>
        </w:rPr>
        <w:t xml:space="preserve">Tip: Include a printed one-pager with key IRS deadlines (quarterly estimated taxes, annual filing dates) and pin it to the new hire's workspace for quick reference.</w:t>
      </w:r>
    </w:p>
    <w:p>
      <w:pPr>
        <w:pStyle w:val="Heading3"/>
        <w:spacing w:after="40" w:before="160"/>
      </w:pPr>
      <w:r>
        <w:t xml:space="preserve">Step 4: Run QuickBooks and Xero Proficiency Check</w:t>
      </w:r>
    </w:p>
    <w:p>
      <w:pPr>
        <w:spacing w:after="100"/>
      </w:pPr>
      <w:r>
        <w:t xml:space="preserve">Have the new hire complete a hands-on exercise: enter a sample invoice, reconcile a mock bank feed, and generate a Profit &amp; Loss report in QuickBooks or Xero. Evaluate their speed and accuracy to identify training gaps before assigning live client work.</w:t>
      </w:r>
    </w:p>
    <w:p>
      <w:pPr>
        <w:pStyle w:val="ListParagraph"/>
        <w:numPr>
          <w:ilvl w:val="1"/>
          <w:numId w:val="1"/>
        </w:numPr>
        <w:spacing w:after="40"/>
      </w:pPr>
      <w:r>
        <w:t xml:space="preserve">Provide access to the firm's sandbox or training company file</w:t>
      </w:r>
    </w:p>
    <w:p>
      <w:pPr>
        <w:pStyle w:val="ListParagraph"/>
        <w:numPr>
          <w:ilvl w:val="1"/>
          <w:numId w:val="1"/>
        </w:numPr>
        <w:spacing w:after="40"/>
      </w:pPr>
      <w:r>
        <w:t xml:space="preserve">Ask the hire to create a sample invoice with correct sales tax codes</w:t>
      </w:r>
    </w:p>
    <w:p>
      <w:pPr>
        <w:pStyle w:val="ListParagraph"/>
        <w:numPr>
          <w:ilvl w:val="1"/>
          <w:numId w:val="1"/>
        </w:numPr>
        <w:spacing w:after="40"/>
      </w:pPr>
      <w:r>
        <w:t xml:space="preserve">Have them reconcile 10 pre-loaded bank transactions and flag any discrepancies</w:t>
      </w:r>
    </w:p>
    <w:p>
      <w:pPr>
        <w:pStyle w:val="ListParagraph"/>
        <w:numPr>
          <w:ilvl w:val="1"/>
          <w:numId w:val="1"/>
        </w:numPr>
        <w:spacing w:after="40"/>
      </w:pPr>
      <w:r>
        <w:t xml:space="preserve">Review the generated P&amp;L report for correct account categorization</w:t>
      </w:r>
    </w:p>
    <w:p>
      <w:pPr>
        <w:pStyle w:val="Heading3"/>
        <w:spacing w:after="40" w:before="160"/>
      </w:pPr>
      <w:r>
        <w:t xml:space="preserve">Step 5: Assign Initial Client Portfolio</w:t>
      </w:r>
    </w:p>
    <w:p>
      <w:pPr>
        <w:spacing w:after="100"/>
      </w:pPr>
      <w:r>
        <w:t xml:space="preserve">In Karbon, assign 3-5 starter clients to the new hire's workflow queue. Choose clients with straightforward monthly bookkeeping needs (no complex multi-entity consolidations) so the hire can build confidence with standard journal entries and bank reconciliations.</w:t>
      </w:r>
    </w:p>
    <w:p>
      <w:pPr>
        <w:spacing w:after="100"/>
      </w:pPr>
      <w:r>
        <w:rPr>
          <w:i/>
          <w:iCs/>
          <w:color w:val="B45309"/>
        </w:rPr>
        <w:t xml:space="preserve">Warning: Do not assign clients with upcoming IRS audit deadlines or open tax disputes to new hires during their first 60 days.</w:t>
      </w:r>
    </w:p>
    <w:p>
      <w:pPr>
        <w:pStyle w:val="Heading3"/>
        <w:spacing w:after="40" w:before="160"/>
      </w:pPr>
      <w:r>
        <w:t xml:space="preserve">Step 6: Review GAAP and Compliance Standards</w:t>
      </w:r>
    </w:p>
    <w:p>
      <w:pPr>
        <w:spacing w:after="100"/>
      </w:pPr>
      <w:r>
        <w:t xml:space="preserve">Schedule a 90-minute session with the practice manager to walk through the firm's GAAP application policies, including revenue recognition, accrual basis standards, and depreciation schedules. Cover IRS compliance for the client types the hire will manage.</w:t>
      </w:r>
    </w:p>
    <w:p>
      <w:pPr>
        <w:spacing w:after="100"/>
      </w:pPr>
      <w:r>
        <w:rPr>
          <w:i/>
          <w:iCs/>
          <w:color w:val="1F7A4D"/>
        </w:rPr>
        <w:t xml:space="preserve">Tip: Use real examples from closed client engagements (with names redacted) to illustrate how the firm applies GAAP standards in practice.</w:t>
      </w:r>
    </w:p>
    <w:p>
      <w:pPr>
        <w:pStyle w:val="Heading3"/>
        <w:spacing w:after="40" w:before="160"/>
      </w:pPr>
      <w:r>
        <w:t xml:space="preserve">Step 7: Shadow a Month-End Close</w:t>
      </w:r>
    </w:p>
    <w:p>
      <w:pPr>
        <w:spacing w:after="100"/>
      </w:pPr>
      <w:r>
        <w:t xml:space="preserve">Pair the new hire with their assigned mentor to observe a full month-end close cycle for one client. The hire should watch the reconciliation process in QuickBooks, review adjusting journal entries, and see how the mentor prepares financial statements for client delivery.</w:t>
      </w:r>
    </w:p>
    <w:p>
      <w:pPr>
        <w:pStyle w:val="ListParagraph"/>
        <w:numPr>
          <w:ilvl w:val="1"/>
          <w:numId w:val="1"/>
        </w:numPr>
        <w:spacing w:after="40"/>
      </w:pPr>
      <w:r>
        <w:t xml:space="preserve">Observe bank and credit card reconciliation in QuickBooks</w:t>
      </w:r>
    </w:p>
    <w:p>
      <w:pPr>
        <w:pStyle w:val="ListParagraph"/>
        <w:numPr>
          <w:ilvl w:val="1"/>
          <w:numId w:val="1"/>
        </w:numPr>
        <w:spacing w:after="40"/>
      </w:pPr>
      <w:r>
        <w:t xml:space="preserve">Review how accruals and prepaid expenses are adjusted</w:t>
      </w:r>
    </w:p>
    <w:p>
      <w:pPr>
        <w:pStyle w:val="ListParagraph"/>
        <w:numPr>
          <w:ilvl w:val="1"/>
          <w:numId w:val="1"/>
        </w:numPr>
        <w:spacing w:after="40"/>
      </w:pPr>
      <w:r>
        <w:t xml:space="preserve">Watch the mentor generate and review the trial balance</w:t>
      </w:r>
    </w:p>
    <w:p>
      <w:pPr>
        <w:pStyle w:val="ListParagraph"/>
        <w:numPr>
          <w:ilvl w:val="1"/>
          <w:numId w:val="1"/>
        </w:numPr>
        <w:spacing w:after="40"/>
      </w:pPr>
      <w:r>
        <w:t xml:space="preserve">See the final financial statement package prepared for client review</w:t>
      </w:r>
    </w:p>
    <w:p>
      <w:pPr>
        <w:pStyle w:val="Heading3"/>
        <w:spacing w:after="40" w:before="160"/>
      </w:pPr>
      <w:r>
        <w:t xml:space="preserve">Step 8: Complete First-Week Checklist Review</w:t>
      </w:r>
    </w:p>
    <w:p>
      <w:pPr>
        <w:spacing w:after="100"/>
      </w:pPr>
      <w:r>
        <w:t xml:space="preserve">At the end of week one, the HR coordinator and practice manager meet with the new hire to review the first-week checklist. Confirm all software access is working, the initial client portfolio is assigned, and the hire has no outstanding questions about firm procedures or compliance requirements.</w:t>
      </w:r>
    </w:p>
    <w:p>
      <w:pPr>
        <w:pStyle w:val="Heading3"/>
        <w:spacing w:after="40" w:before="160"/>
      </w:pPr>
      <w:r>
        <w:t xml:space="preserve">Step 9: Set 30-60-90 Day Performance Milestones</w:t>
      </w:r>
    </w:p>
    <w:p>
      <w:pPr>
        <w:spacing w:after="100"/>
      </w:pPr>
      <w:r>
        <w:t xml:space="preserve">Document specific milestones in the firm's HR system: by day 30, the hire independently reconciles assigned client accounts in QuickBooks; by day 60, they prepare draft financial statements for manager review; by day 90, they manage their client portfolio with minimal oversight and meet firm accuracy benchmarks.</w:t>
      </w:r>
    </w:p>
    <w:p>
      <w:pPr>
        <w:spacing w:after="100"/>
      </w:pPr>
      <w:r>
        <w:rPr>
          <w:i/>
          <w:iCs/>
          <w:color w:val="1F7A4D"/>
        </w:rPr>
        <w:t xml:space="preserve">Tip: Tie each milestone to a measurable KPI, such as reconciliation accuracy rate or average turnaround time per client close.</w:t>
      </w:r>
    </w:p>
    <w:p>
      <w:pPr>
        <w:pStyle w:val="Heading3"/>
        <w:spacing w:after="40" w:before="160"/>
      </w:pPr>
      <w:r>
        <w:t xml:space="preserve">Step 10: Conduct 90-Day Performance Review</w:t>
      </w:r>
    </w:p>
    <w:p>
      <w:pPr>
        <w:spacing w:after="100"/>
      </w:pPr>
      <w:r>
        <w:t xml:space="preserve">The practice manager conducts a formal review covering technical proficiency in QuickBooks/Xero, GAAP compliance adherence, client communication quality, and progress against the 30-60-90 milestones. Document the review and create a development plan for the next quarter.</w:t>
      </w:r>
    </w:p>
    <w:p>
      <w:pPr>
        <w:pStyle w:val="Heading2"/>
        <w:spacing w:after="100" w:before="240"/>
      </w:pPr>
      <w:r>
        <w:t xml:space="preserve">Completion Checklist</w:t>
      </w:r>
    </w:p>
    <w:p>
      <w:pPr>
        <w:spacing w:after="40"/>
      </w:pPr>
      <w:r>
        <w:t xml:space="preserve">☐  Signed offer letter, W-4, I-9, and state tax forms collected and filed</w:t>
      </w:r>
    </w:p>
    <w:p>
      <w:pPr>
        <w:spacing w:after="40"/>
      </w:pPr>
      <w:r>
        <w:t xml:space="preserve">☐  QuickBooks Online or Xero account created with correct role permissions</w:t>
      </w:r>
    </w:p>
    <w:p>
      <w:pPr>
        <w:spacing w:after="40"/>
      </w:pPr>
      <w:r>
        <w:t xml:space="preserve">☐  Karbon workspace access granted and initial clients assigned</w:t>
      </w:r>
    </w:p>
    <w:p>
      <w:pPr>
        <w:spacing w:after="40"/>
      </w:pPr>
      <w:r>
        <w:t xml:space="preserve">☐  CCH Axcess credentials provisioned (if applicable for tax roles)</w:t>
      </w:r>
    </w:p>
    <w:p>
      <w:pPr>
        <w:spacing w:after="40"/>
      </w:pPr>
      <w:r>
        <w:t xml:space="preserve">☐  Multi-factor authentication enabled on all financial software accounts</w:t>
      </w:r>
    </w:p>
    <w:p>
      <w:pPr>
        <w:spacing w:after="40"/>
      </w:pPr>
      <w:r>
        <w:t xml:space="preserve">☐  Laptop, monitors, and VPN access confirmed by IT</w:t>
      </w:r>
    </w:p>
    <w:p>
      <w:pPr>
        <w:spacing w:after="40"/>
      </w:pPr>
      <w:r>
        <w:t xml:space="preserve">☐  Firm orientation completed covering GAAP policies and IRS deadlines</w:t>
      </w:r>
    </w:p>
    <w:p>
      <w:pPr>
        <w:spacing w:after="40"/>
      </w:pPr>
      <w:r>
        <w:t xml:space="preserve">☐  QuickBooks/Xero proficiency exercise completed and reviewed</w:t>
      </w:r>
    </w:p>
    <w:p>
      <w:pPr>
        <w:spacing w:after="40"/>
      </w:pPr>
      <w:r>
        <w:t xml:space="preserve">☐  Mentor assigned and first shadowing session scheduled</w:t>
      </w:r>
    </w:p>
    <w:p>
      <w:pPr>
        <w:spacing w:after="40"/>
      </w:pPr>
      <w:r>
        <w:t xml:space="preserve">☐  First-week review meeting conducted with HR and practice manager</w:t>
      </w:r>
    </w:p>
    <w:p>
      <w:pPr>
        <w:spacing w:after="40"/>
      </w:pPr>
      <w:r>
        <w:t xml:space="preserve">☐  30-60-90 day milestones documented in the HR system</w:t>
      </w:r>
    </w:p>
    <w:p>
      <w:pPr>
        <w:spacing w:after="40"/>
      </w:pPr>
      <w:r>
        <w:t xml:space="preserve">☐  Client portfolio of 3-5 starter accounts assigned in Karbon</w:t>
      </w:r>
    </w:p>
    <w:p>
      <w:pPr>
        <w:spacing w:after="40"/>
      </w:pPr>
      <w:r>
        <w:t xml:space="preserve">☐  90-day performance review scheduled on the calendar</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first independent bank reconciliation</w:t>
            </w:r>
          </w:p>
        </w:tc>
        <w:tc>
          <w:tcPr>
            <w:tcMar>
              <w:top w:type="dxa" w:w="60"/>
              <w:left w:type="dxa" w:w="120"/>
              <w:bottom w:type="dxa" w:w="60"/>
              <w:right w:type="dxa" w:w="120"/>
            </w:tcMar>
          </w:tcPr>
          <w:p>
            <w:r>
              <w:rPr>
                <w:b w:val="false"/>
                <w:bCs w:val="false"/>
              </w:rPr>
              <w:t xml:space="preserve">Within 14 business days of start date</w:t>
            </w:r>
          </w:p>
        </w:tc>
      </w:tr>
      <w:tr>
        <w:trPr>
          <w:tblHeader w:val="false"/>
        </w:trPr>
        <w:tc>
          <w:tcPr>
            <w:tcMar>
              <w:top w:type="dxa" w:w="60"/>
              <w:left w:type="dxa" w:w="120"/>
              <w:bottom w:type="dxa" w:w="60"/>
              <w:right w:type="dxa" w:w="120"/>
            </w:tcMar>
          </w:tcPr>
          <w:p>
            <w:r>
              <w:rPr>
                <w:b w:val="false"/>
                <w:bCs w:val="false"/>
              </w:rPr>
              <w:t xml:space="preserve">Onboarding checklist completion rate</w:t>
            </w:r>
          </w:p>
        </w:tc>
        <w:tc>
          <w:tcPr>
            <w:tcMar>
              <w:top w:type="dxa" w:w="60"/>
              <w:left w:type="dxa" w:w="120"/>
              <w:bottom w:type="dxa" w:w="60"/>
              <w:right w:type="dxa" w:w="120"/>
            </w:tcMar>
          </w:tcPr>
          <w:p>
            <w:r>
              <w:rPr>
                <w:b w:val="false"/>
                <w:bCs w:val="false"/>
              </w:rPr>
              <w:t xml:space="preserve">100% of items completed by end of week 1</w:t>
            </w:r>
          </w:p>
        </w:tc>
      </w:tr>
      <w:tr>
        <w:trPr>
          <w:tblHeader w:val="false"/>
        </w:trPr>
        <w:tc>
          <w:tcPr>
            <w:tcMar>
              <w:top w:type="dxa" w:w="60"/>
              <w:left w:type="dxa" w:w="120"/>
              <w:bottom w:type="dxa" w:w="60"/>
              <w:right w:type="dxa" w:w="120"/>
            </w:tcMar>
          </w:tcPr>
          <w:p>
            <w:r>
              <w:rPr>
                <w:b w:val="false"/>
                <w:bCs w:val="false"/>
              </w:rPr>
              <w:t xml:space="preserve">Reconciliation accuracy rate at 90-day review</w:t>
            </w:r>
          </w:p>
        </w:tc>
        <w:tc>
          <w:tcPr>
            <w:tcMar>
              <w:top w:type="dxa" w:w="60"/>
              <w:left w:type="dxa" w:w="120"/>
              <w:bottom w:type="dxa" w:w="60"/>
              <w:right w:type="dxa" w:w="120"/>
            </w:tcMar>
          </w:tcPr>
          <w:p>
            <w:r>
              <w:rPr>
                <w:b w:val="false"/>
                <w:bCs w:val="false"/>
              </w:rPr>
              <w:t xml:space="preserve">98% or higher across all assigned client accounts</w:t>
            </w:r>
          </w:p>
        </w:tc>
      </w:tr>
      <w:tr>
        <w:trPr>
          <w:tblHeader w:val="false"/>
        </w:trPr>
        <w:tc>
          <w:tcPr>
            <w:tcMar>
              <w:top w:type="dxa" w:w="60"/>
              <w:left w:type="dxa" w:w="120"/>
              <w:bottom w:type="dxa" w:w="60"/>
              <w:right w:type="dxa" w:w="120"/>
            </w:tcMar>
          </w:tcPr>
          <w:p>
            <w:r>
              <w:rPr>
                <w:b w:val="false"/>
                <w:bCs w:val="false"/>
              </w:rPr>
              <w:t xml:space="preserve">New hire satisfaction score (onboarding survey)</w:t>
            </w:r>
          </w:p>
        </w:tc>
        <w:tc>
          <w:tcPr>
            <w:tcMar>
              <w:top w:type="dxa" w:w="60"/>
              <w:left w:type="dxa" w:w="120"/>
              <w:bottom w:type="dxa" w:w="60"/>
              <w:right w:type="dxa" w:w="120"/>
            </w:tcMar>
          </w:tcPr>
          <w:p>
            <w:r>
              <w:rPr>
                <w:b w:val="false"/>
                <w:bCs w:val="false"/>
              </w:rPr>
              <w:t xml:space="preserve">4.5 out of 5 or higher</w:t>
            </w:r>
          </w:p>
        </w:tc>
      </w:tr>
      <w:tr>
        <w:trPr>
          <w:tblHeader w:val="false"/>
        </w:trPr>
        <w:tc>
          <w:tcPr>
            <w:tcMar>
              <w:top w:type="dxa" w:w="60"/>
              <w:left w:type="dxa" w:w="120"/>
              <w:bottom w:type="dxa" w:w="60"/>
              <w:right w:type="dxa" w:w="120"/>
            </w:tcMar>
          </w:tcPr>
          <w:p>
            <w:r>
              <w:rPr>
                <w:b w:val="false"/>
                <w:bCs w:val="false"/>
              </w:rPr>
              <w:t xml:space="preserve">Time to full client portfolio independence</w:t>
            </w:r>
          </w:p>
        </w:tc>
        <w:tc>
          <w:tcPr>
            <w:tcMar>
              <w:top w:type="dxa" w:w="60"/>
              <w:left w:type="dxa" w:w="120"/>
              <w:bottom w:type="dxa" w:w="60"/>
              <w:right w:type="dxa" w:w="120"/>
            </w:tcMar>
          </w:tcPr>
          <w:p>
            <w:r>
              <w:rPr>
                <w:b w:val="false"/>
                <w:bCs w:val="false"/>
              </w:rPr>
              <w:t xml:space="preserve">90 days or fewer</w:t>
            </w:r>
          </w:p>
        </w:tc>
      </w:tr>
    </w:tbl>
    <w:p>
      <w:pPr>
        <w:pStyle w:val="Heading2"/>
        <w:spacing w:after="100" w:before="240"/>
      </w:pPr>
      <w:r>
        <w:t xml:space="preserve">Revision Schedule</w:t>
      </w:r>
    </w:p>
    <w:p>
      <w:pPr>
        <w:spacing w:after="100"/>
      </w:pPr>
      <w:r>
        <w:t xml:space="preserve">Review and update this SOP every 6 months or when the firm adopts new accounting software, changes its client engagement model, or updates its GAAP compliance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Accounting &amp; Bookkeeping</dc:title>
  <dc:creator>Glyde</dc:creator>
  <dc:description>Free Employee Onboarding SOP template designed for Accounting &amp; Bookkeeping HR teams. Includes step-by-step procedures, checklist, roles, and KPIs.</dc:description>
  <cp:lastModifiedBy>Un-named</cp:lastModifiedBy>
  <cp:revision>1</cp:revision>
  <dcterms:created xsi:type="dcterms:W3CDTF">2026-07-22T08:34:35.525Z</dcterms:created>
  <dcterms:modified xsi:type="dcterms:W3CDTF">2026-07-22T08:34:35.525Z</dcterms:modified>
</cp:coreProperties>
</file>

<file path=docProps/custom.xml><?xml version="1.0" encoding="utf-8"?>
<Properties xmlns="http://schemas.openxmlformats.org/officeDocument/2006/custom-properties" xmlns:vt="http://schemas.openxmlformats.org/officeDocument/2006/docPropsVTypes"/>
</file>