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Employee Onboarding SOP Template for Healthcare Teams</w:t>
      </w:r>
    </w:p>
    <w:p>
      <w:pPr>
        <w:spacing w:after="200"/>
      </w:pPr>
      <w:r>
        <w:rPr>
          <w:i/>
          <w:iCs/>
          <w:color w:val="6B7280"/>
        </w:rPr>
        <w:t xml:space="preserve">Free employee onboarding SOP template for healthcare HR teams. Covers credentialing, occupational health clearance, EHR provisioning, HIPAA training, and clinical orientation.</w:t>
      </w:r>
    </w:p>
    <w:p>
      <w:pPr>
        <w:pStyle w:val="Heading2"/>
        <w:spacing w:after="100" w:before="240"/>
      </w:pPr>
      <w:r>
        <w:t xml:space="preserve">Purpose</w:t>
      </w:r>
    </w:p>
    <w:p>
      <w:pPr>
        <w:spacing w:after="100"/>
      </w:pPr>
      <w:r>
        <w:t xml:space="preserve">Define the end-to-end process for onboarding new employees at hospitals, clinics, and health systems — from offer acceptance through the first 30 days. Healthcare onboarding has requirements that other industries do not: credentialing verification, occupational health clearances (TB testing, immunization records), HIPAA and OSHA training with documented attestation, EHR access provisioning with role-based permissions, and clinical orientation with competency validation. This SOP ensures every new hire completes all regulatory and operational requirements before they deliver patient care or access protected health information.</w:t>
      </w:r>
    </w:p>
    <w:p>
      <w:pPr>
        <w:pStyle w:val="Heading2"/>
        <w:spacing w:after="100" w:before="240"/>
      </w:pPr>
      <w:r>
        <w:t xml:space="preserve">Scope</w:t>
      </w:r>
    </w:p>
    <w:p>
      <w:pPr>
        <w:spacing w:after="100"/>
      </w:pPr>
      <w:r>
        <w:t xml:space="preserve">Covers all new hires including clinical staff (nurses, physicians, allied health), non-clinical staff (administrative, billing, environmental services), and contracted or temporary staff. Applies to hospitals, ambulatory clinics, and health system corporate offices. Does not cover medical staff privileging (governed by the Medical Staff Bylaws) or student/intern placements (governed by the academic affiliation agreement).</w:t>
      </w:r>
    </w:p>
    <w:p>
      <w:pPr>
        <w:pStyle w:val="Heading2"/>
        <w:spacing w:after="100" w:before="240"/>
      </w:pPr>
      <w:r>
        <w:t xml:space="preserve">Prerequisites</w:t>
      </w:r>
    </w:p>
    <w:p>
      <w:pPr>
        <w:pStyle w:val="ListParagraph"/>
        <w:numPr>
          <w:ilvl w:val="0"/>
          <w:numId w:val="1"/>
        </w:numPr>
        <w:spacing w:after="40"/>
      </w:pPr>
      <w:r>
        <w:t xml:space="preserve">Signed offer letter and completed background check</w:t>
      </w:r>
    </w:p>
    <w:p>
      <w:pPr>
        <w:pStyle w:val="ListParagraph"/>
        <w:numPr>
          <w:ilvl w:val="0"/>
          <w:numId w:val="1"/>
        </w:numPr>
        <w:spacing w:after="40"/>
      </w:pPr>
      <w:r>
        <w:t xml:space="preserve">Credentialing verification initiated through Symplr, MD-Staff, or equivalent system</w:t>
      </w:r>
    </w:p>
    <w:p>
      <w:pPr>
        <w:pStyle w:val="ListParagraph"/>
        <w:numPr>
          <w:ilvl w:val="0"/>
          <w:numId w:val="1"/>
        </w:numPr>
        <w:spacing w:after="40"/>
      </w:pPr>
      <w:r>
        <w:t xml:space="preserve">Occupational health appointment scheduled before start date</w:t>
      </w:r>
    </w:p>
    <w:p>
      <w:pPr>
        <w:pStyle w:val="ListParagraph"/>
        <w:numPr>
          <w:ilvl w:val="0"/>
          <w:numId w:val="1"/>
        </w:numPr>
        <w:spacing w:after="40"/>
      </w:pPr>
      <w:r>
        <w:t xml:space="preserve">HRIS record created in Workday or SAP SuccessFactors with correct job code and department</w:t>
      </w:r>
    </w:p>
    <w:p>
      <w:pPr>
        <w:pStyle w:val="ListParagraph"/>
        <w:numPr>
          <w:ilvl w:val="0"/>
          <w:numId w:val="1"/>
        </w:numPr>
        <w:spacing w:after="40"/>
      </w:pPr>
      <w:r>
        <w:t xml:space="preserve">IT access request submitted for badge, email, and EHR user account</w:t>
      </w:r>
    </w:p>
    <w:p>
      <w:pPr>
        <w:pStyle w:val="ListParagraph"/>
        <w:numPr>
          <w:ilvl w:val="0"/>
          <w:numId w:val="1"/>
        </w:numPr>
        <w:spacing w:after="40"/>
      </w:pPr>
      <w:r>
        <w:t xml:space="preserve">Department-specific orientation schedule confirmed with the hiring manager</w:t>
      </w:r>
    </w:p>
    <w:p>
      <w:pPr>
        <w:pStyle w:val="Heading2"/>
        <w:spacing w:after="100" w:before="240"/>
      </w:pPr>
      <w:r>
        <w:t xml:space="preserve">Roles &amp; Responsibilities</w:t>
      </w:r>
    </w:p>
    <w:p>
      <w:pPr>
        <w:spacing w:after="40" w:before="120"/>
      </w:pPr>
      <w:r>
        <w:rPr>
          <w:b/>
          <w:bCs/>
        </w:rPr>
        <w:t xml:space="preserve">HR Onboarding Coordinator</w:t>
      </w:r>
    </w:p>
    <w:p>
      <w:pPr>
        <w:pStyle w:val="ListParagraph"/>
        <w:numPr>
          <w:ilvl w:val="0"/>
          <w:numId w:val="1"/>
        </w:numPr>
        <w:spacing w:after="40"/>
      </w:pPr>
      <w:r>
        <w:t xml:space="preserve">Send the pre-boarding packet and track completion of all required documents</w:t>
      </w:r>
    </w:p>
    <w:p>
      <w:pPr>
        <w:pStyle w:val="ListParagraph"/>
        <w:numPr>
          <w:ilvl w:val="0"/>
          <w:numId w:val="1"/>
        </w:numPr>
        <w:spacing w:after="40"/>
      </w:pPr>
      <w:r>
        <w:t xml:space="preserve">Schedule occupational health, orientation sessions, and HIPAA training</w:t>
      </w:r>
    </w:p>
    <w:p>
      <w:pPr>
        <w:pStyle w:val="ListParagraph"/>
        <w:numPr>
          <w:ilvl w:val="0"/>
          <w:numId w:val="1"/>
        </w:numPr>
        <w:spacing w:after="40"/>
      </w:pPr>
      <w:r>
        <w:t xml:space="preserve">Verify all onboarding milestones are met before clearing the employee for duty</w:t>
      </w:r>
    </w:p>
    <w:p>
      <w:pPr>
        <w:spacing w:after="40" w:before="120"/>
      </w:pPr>
      <w:r>
        <w:rPr>
          <w:b/>
          <w:bCs/>
        </w:rPr>
        <w:t xml:space="preserve">Credentialing Specialist</w:t>
      </w:r>
    </w:p>
    <w:p>
      <w:pPr>
        <w:pStyle w:val="ListParagraph"/>
        <w:numPr>
          <w:ilvl w:val="0"/>
          <w:numId w:val="1"/>
        </w:numPr>
        <w:spacing w:after="40"/>
      </w:pPr>
      <w:r>
        <w:t xml:space="preserve">Verify professional licenses, certifications, and education through primary sources</w:t>
      </w:r>
    </w:p>
    <w:p>
      <w:pPr>
        <w:pStyle w:val="ListParagraph"/>
        <w:numPr>
          <w:ilvl w:val="0"/>
          <w:numId w:val="1"/>
        </w:numPr>
        <w:spacing w:after="40"/>
      </w:pPr>
      <w:r>
        <w:t xml:space="preserve">Run OIG and SAM exclusion checks before hire and monthly thereafter</w:t>
      </w:r>
    </w:p>
    <w:p>
      <w:pPr>
        <w:pStyle w:val="ListParagraph"/>
        <w:numPr>
          <w:ilvl w:val="0"/>
          <w:numId w:val="1"/>
        </w:numPr>
        <w:spacing w:after="40"/>
      </w:pPr>
      <w:r>
        <w:t xml:space="preserve">Flag credentialing gaps to HR and the hiring manager within 24 hours of discovery</w:t>
      </w:r>
    </w:p>
    <w:p>
      <w:pPr>
        <w:spacing w:after="40" w:before="120"/>
      </w:pPr>
      <w:r>
        <w:rPr>
          <w:b/>
          <w:bCs/>
        </w:rPr>
        <w:t xml:space="preserve">IT Access Administrator</w:t>
      </w:r>
    </w:p>
    <w:p>
      <w:pPr>
        <w:pStyle w:val="ListParagraph"/>
        <w:numPr>
          <w:ilvl w:val="0"/>
          <w:numId w:val="1"/>
        </w:numPr>
        <w:spacing w:after="40"/>
      </w:pPr>
      <w:r>
        <w:t xml:space="preserve">Provision the employee badge, email account, and network access</w:t>
      </w:r>
    </w:p>
    <w:p>
      <w:pPr>
        <w:pStyle w:val="ListParagraph"/>
        <w:numPr>
          <w:ilvl w:val="0"/>
          <w:numId w:val="1"/>
        </w:numPr>
        <w:spacing w:after="40"/>
      </w:pPr>
      <w:r>
        <w:t xml:space="preserve">Create the EHR user account (Epic, Cerner) with role-appropriate security templates</w:t>
      </w:r>
    </w:p>
    <w:p>
      <w:pPr>
        <w:pStyle w:val="ListParagraph"/>
        <w:numPr>
          <w:ilvl w:val="0"/>
          <w:numId w:val="1"/>
        </w:numPr>
        <w:spacing w:after="40"/>
      </w:pPr>
      <w:r>
        <w:t xml:space="preserve">Verify the new hire can log in to all required systems on day one</w:t>
      </w:r>
    </w:p>
    <w:p>
      <w:pPr>
        <w:spacing w:after="40" w:before="120"/>
      </w:pPr>
      <w:r>
        <w:rPr>
          <w:b/>
          <w:bCs/>
        </w:rPr>
        <w:t xml:space="preserve">Hiring Manager / Preceptor</w:t>
      </w:r>
    </w:p>
    <w:p>
      <w:pPr>
        <w:pStyle w:val="ListParagraph"/>
        <w:numPr>
          <w:ilvl w:val="0"/>
          <w:numId w:val="1"/>
        </w:numPr>
        <w:spacing w:after="40"/>
      </w:pPr>
      <w:r>
        <w:t xml:space="preserve">Conduct department-specific orientation and assign a buddy or preceptor</w:t>
      </w:r>
    </w:p>
    <w:p>
      <w:pPr>
        <w:pStyle w:val="ListParagraph"/>
        <w:numPr>
          <w:ilvl w:val="0"/>
          <w:numId w:val="1"/>
        </w:numPr>
        <w:spacing w:after="40"/>
      </w:pPr>
      <w:r>
        <w:t xml:space="preserve">Validate clinical competencies during the orientation period</w:t>
      </w:r>
    </w:p>
    <w:p>
      <w:pPr>
        <w:pStyle w:val="ListParagraph"/>
        <w:numPr>
          <w:ilvl w:val="0"/>
          <w:numId w:val="1"/>
        </w:numPr>
        <w:spacing w:after="40"/>
      </w:pPr>
      <w:r>
        <w:t xml:space="preserve">Complete the 14-day and 30-day check-in conversations and document outcomes</w:t>
      </w:r>
    </w:p>
    <w:p>
      <w:pPr>
        <w:spacing w:after="40" w:before="120"/>
      </w:pPr>
      <w:r>
        <w:rPr>
          <w:b/>
          <w:bCs/>
        </w:rPr>
        <w:t xml:space="preserve">Occupational Health Nurse</w:t>
      </w:r>
    </w:p>
    <w:p>
      <w:pPr>
        <w:pStyle w:val="ListParagraph"/>
        <w:numPr>
          <w:ilvl w:val="0"/>
          <w:numId w:val="1"/>
        </w:numPr>
        <w:spacing w:after="40"/>
      </w:pPr>
      <w:r>
        <w:t xml:space="preserve">Administer TB screening (two-step TST or IGRA blood test) and review immunization records</w:t>
      </w:r>
    </w:p>
    <w:p>
      <w:pPr>
        <w:pStyle w:val="ListParagraph"/>
        <w:numPr>
          <w:ilvl w:val="0"/>
          <w:numId w:val="1"/>
        </w:numPr>
        <w:spacing w:after="40"/>
      </w:pPr>
      <w:r>
        <w:t xml:space="preserve">Conduct the fit-for-duty assessment and respirator fit test</w:t>
      </w:r>
    </w:p>
    <w:p>
      <w:pPr>
        <w:pStyle w:val="ListParagraph"/>
        <w:numPr>
          <w:ilvl w:val="0"/>
          <w:numId w:val="1"/>
        </w:numPr>
        <w:spacing w:after="40"/>
      </w:pPr>
      <w:r>
        <w:t xml:space="preserve">Clear the employee for patient-facing duties and document results in the employee health record</w:t>
      </w:r>
    </w:p>
    <w:p>
      <w:pPr>
        <w:pStyle w:val="Heading2"/>
        <w:spacing w:after="100" w:before="240"/>
      </w:pPr>
      <w:r>
        <w:t xml:space="preserve">Procedure</w:t>
      </w:r>
    </w:p>
    <w:p>
      <w:pPr>
        <w:pStyle w:val="Heading3"/>
        <w:spacing w:after="40" w:before="160"/>
      </w:pPr>
      <w:r>
        <w:t xml:space="preserve">Step 1: Send the pre-boarding packet</w:t>
      </w:r>
    </w:p>
    <w:p>
      <w:pPr>
        <w:spacing w:after="100"/>
      </w:pPr>
      <w:r>
        <w:t xml:space="preserve">Within 48 hours of offer acceptance, the HR Onboarding Coordinator sends the digital pre-boarding packet through the HRIS (Workday or SAP SuccessFactors). The packet includes tax forms (W-4, state withholding), direct deposit authorization, emergency contact information, confidentiality agreement, HIPAA acknowledgment, drug screening consent, and the employee handbook acknowledgment. Set a completion deadline of 5 business days before the start date.</w:t>
      </w:r>
    </w:p>
    <w:p>
      <w:pPr>
        <w:pStyle w:val="ListParagraph"/>
        <w:numPr>
          <w:ilvl w:val="1"/>
          <w:numId w:val="1"/>
        </w:numPr>
        <w:spacing w:after="40"/>
      </w:pPr>
      <w:r>
        <w:t xml:space="preserve">Generate the pre-boarding task list in the HRIS and assign it to the new hire</w:t>
      </w:r>
    </w:p>
    <w:p>
      <w:pPr>
        <w:pStyle w:val="ListParagraph"/>
        <w:numPr>
          <w:ilvl w:val="1"/>
          <w:numId w:val="1"/>
        </w:numPr>
        <w:spacing w:after="40"/>
      </w:pPr>
      <w:r>
        <w:t xml:space="preserve">Include a welcome letter with the start date, reporting location, dress code, and parking instructions</w:t>
      </w:r>
    </w:p>
    <w:p>
      <w:pPr>
        <w:pStyle w:val="ListParagraph"/>
        <w:numPr>
          <w:ilvl w:val="1"/>
          <w:numId w:val="1"/>
        </w:numPr>
        <w:spacing w:after="40"/>
      </w:pPr>
      <w:r>
        <w:t xml:space="preserve">Attach the benefits enrollment guide with the enrollment deadline (typically 30 days from hire)</w:t>
      </w:r>
    </w:p>
    <w:p>
      <w:pPr>
        <w:pStyle w:val="ListParagraph"/>
        <w:numPr>
          <w:ilvl w:val="1"/>
          <w:numId w:val="1"/>
        </w:numPr>
        <w:spacing w:after="40"/>
      </w:pPr>
      <w:r>
        <w:t xml:space="preserve">Set automated reminders at 7 days and 3 days before the deadline for incomplete items</w:t>
      </w:r>
    </w:p>
    <w:p>
      <w:pPr>
        <w:pStyle w:val="ListParagraph"/>
        <w:numPr>
          <w:ilvl w:val="1"/>
          <w:numId w:val="1"/>
        </w:numPr>
        <w:spacing w:after="40"/>
      </w:pPr>
      <w:r>
        <w:t xml:space="preserve">Confirm all documents are submitted and signed before proceeding to the next step</w:t>
      </w:r>
    </w:p>
    <w:p>
      <w:pPr>
        <w:spacing w:after="100"/>
      </w:pPr>
      <w:r>
        <w:rPr>
          <w:i/>
          <w:iCs/>
          <w:color w:val="1F7A4D"/>
        </w:rPr>
        <w:t xml:space="preserve">Tip: Include a short video from the department manager welcoming the new hire. It costs nothing and reduces first-day anxiety.</w:t>
      </w:r>
    </w:p>
    <w:p>
      <w:pPr>
        <w:pStyle w:val="Heading3"/>
        <w:spacing w:after="40" w:before="160"/>
      </w:pPr>
      <w:r>
        <w:t xml:space="preserve">Step 2: Complete credentialing verification</w:t>
      </w:r>
    </w:p>
    <w:p>
      <w:pPr>
        <w:spacing w:after="100"/>
      </w:pPr>
      <w:r>
        <w:t xml:space="preserve">The Credentialing Specialist runs primary source verification on all professional licenses, certifications, and education credentials using Symplr or MD-Staff. For clinical staff, this includes state nursing or medical license, DEA registration (if applicable), BLS/ACLS certification, and specialty board certification. Run the OIG (Office of Inspector General) exclusion list check and the SAM (System for Award Management) exclusion check — hiring an excluded individual can result in penalties up to $100,000 per occurrence.</w:t>
      </w:r>
    </w:p>
    <w:p>
      <w:pPr>
        <w:pStyle w:val="ListParagraph"/>
        <w:numPr>
          <w:ilvl w:val="1"/>
          <w:numId w:val="1"/>
        </w:numPr>
        <w:spacing w:after="40"/>
      </w:pPr>
      <w:r>
        <w:t xml:space="preserve">Verify state professional license directly with the licensing board (not from a photocopy)</w:t>
      </w:r>
    </w:p>
    <w:p>
      <w:pPr>
        <w:pStyle w:val="ListParagraph"/>
        <w:numPr>
          <w:ilvl w:val="1"/>
          <w:numId w:val="1"/>
        </w:numPr>
        <w:spacing w:after="40"/>
      </w:pPr>
      <w:r>
        <w:t xml:space="preserve">Confirm BLS/ACLS/specialty certifications are current and from an approved provider</w:t>
      </w:r>
    </w:p>
    <w:p>
      <w:pPr>
        <w:pStyle w:val="ListParagraph"/>
        <w:numPr>
          <w:ilvl w:val="1"/>
          <w:numId w:val="1"/>
        </w:numPr>
        <w:spacing w:after="40"/>
      </w:pPr>
      <w:r>
        <w:t xml:space="preserve">Run the OIG exclusion list check at oig.hhs.gov/exclusions</w:t>
      </w:r>
    </w:p>
    <w:p>
      <w:pPr>
        <w:pStyle w:val="ListParagraph"/>
        <w:numPr>
          <w:ilvl w:val="1"/>
          <w:numId w:val="1"/>
        </w:numPr>
        <w:spacing w:after="40"/>
      </w:pPr>
      <w:r>
        <w:t xml:space="preserve">Run the SAM exclusion check at sam.gov</w:t>
      </w:r>
    </w:p>
    <w:p>
      <w:pPr>
        <w:pStyle w:val="ListParagraph"/>
        <w:numPr>
          <w:ilvl w:val="1"/>
          <w:numId w:val="1"/>
        </w:numPr>
        <w:spacing w:after="40"/>
      </w:pPr>
      <w:r>
        <w:t xml:space="preserve">Document all verification results with dates and sources in the credentialing system</w:t>
      </w:r>
    </w:p>
    <w:p>
      <w:pPr>
        <w:pStyle w:val="ListParagraph"/>
        <w:numPr>
          <w:ilvl w:val="1"/>
          <w:numId w:val="1"/>
        </w:numPr>
        <w:spacing w:after="40"/>
      </w:pPr>
      <w:r>
        <w:t xml:space="preserve">If any credential is expired, missing, or cannot be verified, hold the start date and notify the hiring manager</w:t>
      </w:r>
    </w:p>
    <w:p>
      <w:pPr>
        <w:spacing w:after="100"/>
      </w:pPr>
      <w:r>
        <w:rPr>
          <w:i/>
          <w:iCs/>
          <w:color w:val="B45309"/>
        </w:rPr>
        <w:t xml:space="preserve">Warning: Never let a new hire start patient care duties before credentialing is complete. An unlicensed or excluded employee treating patients exposes the organization to CMS penalties, malpractice liability, and Joint Commission citations.</w:t>
      </w:r>
    </w:p>
    <w:p>
      <w:pPr>
        <w:pStyle w:val="Heading3"/>
        <w:spacing w:after="40" w:before="160"/>
      </w:pPr>
      <w:r>
        <w:t xml:space="preserve">Step 3: Complete occupational health clearance</w:t>
      </w:r>
    </w:p>
    <w:p>
      <w:pPr>
        <w:spacing w:after="100"/>
      </w:pPr>
      <w:r>
        <w:t xml:space="preserve">Before the start date, the new hire completes the occupational health screening with the Occupational Health Nurse. This includes a two-step tuberculin skin test (TST) or IGRA blood test (QuantiFERON-TB Gold), review of immunization records (Hepatitis B series, MMR, Varicella, Tdap, annual influenza), respirator fit testing for N95 masks (required for airborne precaution roles), and a fit-for-duty physical assessment if required by the job description.</w:t>
      </w:r>
    </w:p>
    <w:p>
      <w:pPr>
        <w:pStyle w:val="ListParagraph"/>
        <w:numPr>
          <w:ilvl w:val="1"/>
          <w:numId w:val="1"/>
        </w:numPr>
        <w:spacing w:after="40"/>
      </w:pPr>
      <w:r>
        <w:t xml:space="preserve">Administer or review TB screening results — two-step TST requires two visits 7-21 days apart</w:t>
      </w:r>
    </w:p>
    <w:p>
      <w:pPr>
        <w:pStyle w:val="ListParagraph"/>
        <w:numPr>
          <w:ilvl w:val="1"/>
          <w:numId w:val="1"/>
        </w:numPr>
        <w:spacing w:after="40"/>
      </w:pPr>
      <w:r>
        <w:t xml:space="preserve">Review immunization records and administer any missing vaccines or draw titers</w:t>
      </w:r>
    </w:p>
    <w:p>
      <w:pPr>
        <w:pStyle w:val="ListParagraph"/>
        <w:numPr>
          <w:ilvl w:val="1"/>
          <w:numId w:val="1"/>
        </w:numPr>
        <w:spacing w:after="40"/>
      </w:pPr>
      <w:r>
        <w:t xml:space="preserve">Conduct respirator fit testing for clinical staff who may enter airborne isolation rooms</w:t>
      </w:r>
    </w:p>
    <w:p>
      <w:pPr>
        <w:pStyle w:val="ListParagraph"/>
        <w:numPr>
          <w:ilvl w:val="1"/>
          <w:numId w:val="1"/>
        </w:numPr>
        <w:spacing w:after="40"/>
      </w:pPr>
      <w:r>
        <w:t xml:space="preserve">Complete the fit-for-duty assessment for roles with physical requirements (lifting, standing)</w:t>
      </w:r>
    </w:p>
    <w:p>
      <w:pPr>
        <w:pStyle w:val="ListParagraph"/>
        <w:numPr>
          <w:ilvl w:val="1"/>
          <w:numId w:val="1"/>
        </w:numPr>
        <w:spacing w:after="40"/>
      </w:pPr>
      <w:r>
        <w:t xml:space="preserve">Document all results in the employee health record and issue the occupational health clearance</w:t>
      </w:r>
    </w:p>
    <w:p>
      <w:pPr>
        <w:pStyle w:val="ListParagraph"/>
        <w:numPr>
          <w:ilvl w:val="1"/>
          <w:numId w:val="1"/>
        </w:numPr>
        <w:spacing w:after="40"/>
      </w:pPr>
      <w:r>
        <w:t xml:space="preserve">Notify HR that the employee is cleared (or identify what remains outstanding)</w:t>
      </w:r>
    </w:p>
    <w:p>
      <w:pPr>
        <w:spacing w:after="100"/>
      </w:pPr>
      <w:r>
        <w:rPr>
          <w:i/>
          <w:iCs/>
          <w:color w:val="1F7A4D"/>
        </w:rPr>
        <w:t xml:space="preserve">Tip: Schedule the first TB test at least 3 weeks before the start date to allow time for the two-step process. If the new hire has a prior positive TB test, they need a chest X-ray instead — this adds processing time.</w:t>
      </w:r>
    </w:p>
    <w:p>
      <w:pPr>
        <w:pStyle w:val="Heading3"/>
        <w:spacing w:after="40" w:before="160"/>
      </w:pPr>
      <w:r>
        <w:t xml:space="preserve">Step 4: Provision badge, email, and EHR access</w:t>
      </w:r>
    </w:p>
    <w:p>
      <w:pPr>
        <w:spacing w:after="100"/>
      </w:pPr>
      <w:r>
        <w:t xml:space="preserve">The IT Access Administrator creates the employee's accounts based on the access request submitted during pre-boarding. This includes the facility ID badge (with photo, name, title, and access levels for badge readers), email account, network login, and EHR user account. For the EHR, assign the correct security template based on the employee's role — a nurse gets different access than a registration clerk. Epic uses EMP records and security classes; Cerner uses position-based security templates.</w:t>
      </w:r>
    </w:p>
    <w:p>
      <w:pPr>
        <w:pStyle w:val="ListParagraph"/>
        <w:numPr>
          <w:ilvl w:val="1"/>
          <w:numId w:val="1"/>
        </w:numPr>
        <w:spacing w:after="40"/>
      </w:pPr>
      <w:r>
        <w:t xml:space="preserve">Create the employee's Active Directory account with the correct organizational unit</w:t>
      </w:r>
    </w:p>
    <w:p>
      <w:pPr>
        <w:pStyle w:val="ListParagraph"/>
        <w:numPr>
          <w:ilvl w:val="1"/>
          <w:numId w:val="1"/>
        </w:numPr>
        <w:spacing w:after="40"/>
      </w:pPr>
      <w:r>
        <w:t xml:space="preserve">Generate the facility ID badge with appropriate door access levels</w:t>
      </w:r>
    </w:p>
    <w:p>
      <w:pPr>
        <w:pStyle w:val="ListParagraph"/>
        <w:numPr>
          <w:ilvl w:val="1"/>
          <w:numId w:val="1"/>
        </w:numPr>
        <w:spacing w:after="40"/>
      </w:pPr>
      <w:r>
        <w:t xml:space="preserve">Create the email account and add the employee to department distribution lists</w:t>
      </w:r>
    </w:p>
    <w:p>
      <w:pPr>
        <w:pStyle w:val="ListParagraph"/>
        <w:numPr>
          <w:ilvl w:val="1"/>
          <w:numId w:val="1"/>
        </w:numPr>
        <w:spacing w:after="40"/>
      </w:pPr>
      <w:r>
        <w:t xml:space="preserve">Build the EHR user account: Epic (EMP record, security class, InBasket pools) or Cerner (position, security template, message pools)</w:t>
      </w:r>
    </w:p>
    <w:p>
      <w:pPr>
        <w:pStyle w:val="ListParagraph"/>
        <w:numPr>
          <w:ilvl w:val="1"/>
          <w:numId w:val="1"/>
        </w:numPr>
        <w:spacing w:after="40"/>
      </w:pPr>
      <w:r>
        <w:t xml:space="preserve">Test the login on a workstation to confirm all access works before day one</w:t>
      </w:r>
    </w:p>
    <w:p>
      <w:pPr>
        <w:spacing w:after="100"/>
      </w:pPr>
      <w:r>
        <w:rPr>
          <w:i/>
          <w:iCs/>
          <w:color w:val="B45309"/>
        </w:rPr>
        <w:t xml:space="preserve">Warning: Do not copy security access from another employee's profile. Role-based templates prevent over-provisioning. Copying from a senior employee often grants access to PHI the new hire should not see, which is a HIPAA minimum necessary violation.</w:t>
      </w:r>
    </w:p>
    <w:p>
      <w:pPr>
        <w:pStyle w:val="Heading3"/>
        <w:spacing w:after="40" w:before="160"/>
      </w:pPr>
      <w:r>
        <w:t xml:space="preserve">Step 5: Conduct general orientation and HIPAA/OSHA training</w:t>
      </w:r>
    </w:p>
    <w:p>
      <w:pPr>
        <w:spacing w:after="100"/>
      </w:pPr>
      <w:r>
        <w:t xml:space="preserve">On day one (or during the first week for staggered start cohorts), all new hires attend general hospital orientation. This covers the organization's mission and values, emergency codes and procedures (Code Blue, Code Red, Code Silver), HIPAA Privacy and Security training with attestation, OSHA Bloodborne Pathogen Standard training, fire safety and extinguisher use, and workplace violence prevention. Each training module requires a signed attestation or quiz with a passing score — these attestations are audit evidence for Joint Commission and CMS.</w:t>
      </w:r>
    </w:p>
    <w:p>
      <w:pPr>
        <w:pStyle w:val="ListParagraph"/>
        <w:numPr>
          <w:ilvl w:val="1"/>
          <w:numId w:val="1"/>
        </w:numPr>
        <w:spacing w:after="40"/>
      </w:pPr>
      <w:r>
        <w:t xml:space="preserve">Welcome session: organizational overview, leadership introductions, campus tour</w:t>
      </w:r>
    </w:p>
    <w:p>
      <w:pPr>
        <w:pStyle w:val="ListParagraph"/>
        <w:numPr>
          <w:ilvl w:val="1"/>
          <w:numId w:val="1"/>
        </w:numPr>
        <w:spacing w:after="40"/>
      </w:pPr>
      <w:r>
        <w:t xml:space="preserve">HIPAA training: Privacy Rule, Security Rule, minimum necessary standard, breach reporting procedures — followed by written attestation</w:t>
      </w:r>
    </w:p>
    <w:p>
      <w:pPr>
        <w:pStyle w:val="ListParagraph"/>
        <w:numPr>
          <w:ilvl w:val="1"/>
          <w:numId w:val="1"/>
        </w:numPr>
        <w:spacing w:after="40"/>
      </w:pPr>
      <w:r>
        <w:t xml:space="preserve">OSHA training: Bloodborne Pathogen Standard, PPE donning/doffing, sharps safety, exposure reporting</w:t>
      </w:r>
    </w:p>
    <w:p>
      <w:pPr>
        <w:pStyle w:val="ListParagraph"/>
        <w:numPr>
          <w:ilvl w:val="1"/>
          <w:numId w:val="1"/>
        </w:numPr>
        <w:spacing w:after="40"/>
      </w:pPr>
      <w:r>
        <w:t xml:space="preserve">Emergency codes: walk through each code type, staff roles, and evacuation routes</w:t>
      </w:r>
    </w:p>
    <w:p>
      <w:pPr>
        <w:pStyle w:val="ListParagraph"/>
        <w:numPr>
          <w:ilvl w:val="1"/>
          <w:numId w:val="1"/>
        </w:numPr>
        <w:spacing w:after="40"/>
      </w:pPr>
      <w:r>
        <w:t xml:space="preserve">Fire safety: RACE (Rescue, Alarm, Contain, Extinguish) and PASS (Pull, Aim, Squeeze, Sweep)</w:t>
      </w:r>
    </w:p>
    <w:p>
      <w:pPr>
        <w:pStyle w:val="ListParagraph"/>
        <w:numPr>
          <w:ilvl w:val="1"/>
          <w:numId w:val="1"/>
        </w:numPr>
        <w:spacing w:after="40"/>
      </w:pPr>
      <w:r>
        <w:t xml:space="preserve">Collect signed attestations for every training module and file in the employee's training record</w:t>
      </w:r>
    </w:p>
    <w:p>
      <w:pPr>
        <w:pStyle w:val="Heading3"/>
        <w:spacing w:after="40" w:before="160"/>
      </w:pPr>
      <w:r>
        <w:t xml:space="preserve">Step 6: Complete EHR training and proficiency assessment</w:t>
      </w:r>
    </w:p>
    <w:p>
      <w:pPr>
        <w:spacing w:after="100"/>
      </w:pPr>
      <w:r>
        <w:t xml:space="preserve">Clinical and administrative staff complete EHR-specific training before they can use the system independently. Epic facilities use the Epic training environment (Playground or Training MST). Cerner facilities use the Cerner training domain. Training covers the workflows specific to the employee's role: for nurses, that means documentation, medication administration (MAR/eMAR), and order review; for registration staff, patient scheduling and check-in. Each employee must pass a proficiency assessment — a scored test in the training environment — before receiving production access.</w:t>
      </w:r>
    </w:p>
    <w:p>
      <w:pPr>
        <w:pStyle w:val="ListParagraph"/>
        <w:numPr>
          <w:ilvl w:val="1"/>
          <w:numId w:val="1"/>
        </w:numPr>
        <w:spacing w:after="40"/>
      </w:pPr>
      <w:r>
        <w:t xml:space="preserve">Assign the role-specific EHR training curriculum in the learning management system</w:t>
      </w:r>
    </w:p>
    <w:p>
      <w:pPr>
        <w:pStyle w:val="ListParagraph"/>
        <w:numPr>
          <w:ilvl w:val="1"/>
          <w:numId w:val="1"/>
        </w:numPr>
        <w:spacing w:after="40"/>
      </w:pPr>
      <w:r>
        <w:t xml:space="preserve">Schedule classroom or virtual EHR training sessions (typically 4-16 hours depending on role)</w:t>
      </w:r>
    </w:p>
    <w:p>
      <w:pPr>
        <w:pStyle w:val="ListParagraph"/>
        <w:numPr>
          <w:ilvl w:val="1"/>
          <w:numId w:val="1"/>
        </w:numPr>
        <w:spacing w:after="40"/>
      </w:pPr>
      <w:r>
        <w:t xml:space="preserve">Employee completes hands-on exercises in the EHR training environment</w:t>
      </w:r>
    </w:p>
    <w:p>
      <w:pPr>
        <w:pStyle w:val="ListParagraph"/>
        <w:numPr>
          <w:ilvl w:val="1"/>
          <w:numId w:val="1"/>
        </w:numPr>
        <w:spacing w:after="40"/>
      </w:pPr>
      <w:r>
        <w:t xml:space="preserve">Administer the proficiency assessment: a scored scenario-based test in the training system</w:t>
      </w:r>
    </w:p>
    <w:p>
      <w:pPr>
        <w:pStyle w:val="ListParagraph"/>
        <w:numPr>
          <w:ilvl w:val="1"/>
          <w:numId w:val="1"/>
        </w:numPr>
        <w:spacing w:after="40"/>
      </w:pPr>
      <w:r>
        <w:t xml:space="preserve">If the employee passes (typically 80% or higher), activate their production EHR access</w:t>
      </w:r>
    </w:p>
    <w:p>
      <w:pPr>
        <w:pStyle w:val="ListParagraph"/>
        <w:numPr>
          <w:ilvl w:val="1"/>
          <w:numId w:val="1"/>
        </w:numPr>
        <w:spacing w:after="40"/>
      </w:pPr>
      <w:r>
        <w:t xml:space="preserve">If the employee does not pass, schedule a remediation session and re-test within 5 business days</w:t>
      </w:r>
    </w:p>
    <w:p>
      <w:pPr>
        <w:spacing w:after="100"/>
      </w:pPr>
      <w:r>
        <w:rPr>
          <w:i/>
          <w:iCs/>
          <w:color w:val="1F7A4D"/>
        </w:rPr>
        <w:t xml:space="preserve">Tip: Pair new clinical hires with a super user on their unit for the first three shifts after training. Classroom skills and real-workflow skills are different — the super user bridges that gap.</w:t>
      </w:r>
    </w:p>
    <w:p>
      <w:pPr>
        <w:pStyle w:val="Heading3"/>
        <w:spacing w:after="40" w:before="160"/>
      </w:pPr>
      <w:r>
        <w:t xml:space="preserve">Step 7: Begin department-specific clinical orientation</w:t>
      </w:r>
    </w:p>
    <w:p>
      <w:pPr>
        <w:spacing w:after="100"/>
      </w:pPr>
      <w:r>
        <w:t xml:space="preserve">The Hiring Manager or designated preceptor conducts the department-level orientation. For clinical staff, this includes unit-specific policies, patient population overview, equipment orientation (IV pumps, monitors, bed controls), medication storage and dispensing procedures, and documentation standards for the unit. The preceptor works alongside the new hire for a defined orientation period — typically 4-12 weeks for bedside nurses, 2-4 weeks for allied health, and 1-2 weeks for administrative roles.</w:t>
      </w:r>
    </w:p>
    <w:p>
      <w:pPr>
        <w:pStyle w:val="ListParagraph"/>
        <w:numPr>
          <w:ilvl w:val="1"/>
          <w:numId w:val="1"/>
        </w:numPr>
        <w:spacing w:after="40"/>
      </w:pPr>
      <w:r>
        <w:t xml:space="preserve">Walk the new hire through the unit layout: supply rooms, medication rooms, code cart locations, break room</w:t>
      </w:r>
    </w:p>
    <w:p>
      <w:pPr>
        <w:pStyle w:val="ListParagraph"/>
        <w:numPr>
          <w:ilvl w:val="1"/>
          <w:numId w:val="1"/>
        </w:numPr>
        <w:spacing w:after="40"/>
      </w:pPr>
      <w:r>
        <w:t xml:space="preserve">Review unit-specific policies that differ from general hospital policy</w:t>
      </w:r>
    </w:p>
    <w:p>
      <w:pPr>
        <w:pStyle w:val="ListParagraph"/>
        <w:numPr>
          <w:ilvl w:val="1"/>
          <w:numId w:val="1"/>
        </w:numPr>
        <w:spacing w:after="40"/>
      </w:pPr>
      <w:r>
        <w:t xml:space="preserve">Demonstrate equipment specific to the unit (telemetry monitors, specialty pumps, isolation carts)</w:t>
      </w:r>
    </w:p>
    <w:p>
      <w:pPr>
        <w:pStyle w:val="ListParagraph"/>
        <w:numPr>
          <w:ilvl w:val="1"/>
          <w:numId w:val="1"/>
        </w:numPr>
        <w:spacing w:after="40"/>
      </w:pPr>
      <w:r>
        <w:t xml:space="preserve">Introduce the new hire to the care team and assign a buddy for day-to-day questions</w:t>
      </w:r>
    </w:p>
    <w:p>
      <w:pPr>
        <w:pStyle w:val="ListParagraph"/>
        <w:numPr>
          <w:ilvl w:val="1"/>
          <w:numId w:val="1"/>
        </w:numPr>
        <w:spacing w:after="40"/>
      </w:pPr>
      <w:r>
        <w:t xml:space="preserve">Provide the competency checklist that must be completed during the orientation period</w:t>
      </w:r>
    </w:p>
    <w:p>
      <w:pPr>
        <w:pStyle w:val="Heading3"/>
        <w:spacing w:after="40" w:before="160"/>
      </w:pPr>
      <w:r>
        <w:t xml:space="preserve">Step 8: Assign buddy and begin competency validation</w:t>
      </w:r>
    </w:p>
    <w:p>
      <w:pPr>
        <w:spacing w:after="100"/>
      </w:pPr>
      <w:r>
        <w:t xml:space="preserve">Every new hire is paired with a buddy — an experienced team member in the same role who is available for questions and guidance during the first 30 days. For clinical staff, the buddy or preceptor also validates clinical competencies using a skills checklist. Competencies are observed and signed off by the preceptor: medication administration, IV insertion (for nurses), wound care, patient assessment, and any unit-specific procedures. Competencies that cannot be validated during orientation are flagged for simulation lab completion.</w:t>
      </w:r>
    </w:p>
    <w:p>
      <w:pPr>
        <w:pStyle w:val="ListParagraph"/>
        <w:numPr>
          <w:ilvl w:val="1"/>
          <w:numId w:val="1"/>
        </w:numPr>
        <w:spacing w:after="40"/>
      </w:pPr>
      <w:r>
        <w:t xml:space="preserve">Assign a buddy based on schedule alignment (same shift pattern as the new hire)</w:t>
      </w:r>
    </w:p>
    <w:p>
      <w:pPr>
        <w:pStyle w:val="ListParagraph"/>
        <w:numPr>
          <w:ilvl w:val="1"/>
          <w:numId w:val="1"/>
        </w:numPr>
        <w:spacing w:after="40"/>
      </w:pPr>
      <w:r>
        <w:t xml:space="preserve">Give the buddy a clear list of responsibilities — answering questions, introducing workflow norms, being available</w:t>
      </w:r>
    </w:p>
    <w:p>
      <w:pPr>
        <w:pStyle w:val="ListParagraph"/>
        <w:numPr>
          <w:ilvl w:val="1"/>
          <w:numId w:val="1"/>
        </w:numPr>
        <w:spacing w:after="40"/>
      </w:pPr>
      <w:r>
        <w:t xml:space="preserve">Begin competency validation: preceptor observes the new hire performing each skill and signs off</w:t>
      </w:r>
    </w:p>
    <w:p>
      <w:pPr>
        <w:pStyle w:val="ListParagraph"/>
        <w:numPr>
          <w:ilvl w:val="1"/>
          <w:numId w:val="1"/>
        </w:numPr>
        <w:spacing w:after="40"/>
      </w:pPr>
      <w:r>
        <w:t xml:space="preserve">Track competency completion on the skills checklist — aim for 80% completion by day 14</w:t>
      </w:r>
    </w:p>
    <w:p>
      <w:pPr>
        <w:pStyle w:val="ListParagraph"/>
        <w:numPr>
          <w:ilvl w:val="1"/>
          <w:numId w:val="1"/>
        </w:numPr>
        <w:spacing w:after="40"/>
      </w:pPr>
      <w:r>
        <w:t xml:space="preserve">Schedule simulation lab time for any competencies not observed during live patient care</w:t>
      </w:r>
    </w:p>
    <w:p>
      <w:pPr>
        <w:pStyle w:val="Heading3"/>
        <w:spacing w:after="40" w:before="160"/>
      </w:pPr>
      <w:r>
        <w:t xml:space="preserve">Step 9: Conduct the 14-day check-in</w:t>
      </w:r>
    </w:p>
    <w:p>
      <w:pPr>
        <w:spacing w:after="100"/>
      </w:pPr>
      <w:r>
        <w:t xml:space="preserve">At the two-week mark, the Hiring Manager meets with the new hire for a structured check-in conversation. This is not a performance review — it is a pulse check. Cover: How is orientation going? Do you have the access and equipment you need? Are there any gaps in your training? How is the relationship with your buddy/preceptor? Is there anything about the role that is different from what you expected? Document the conversation in the HRIS and create action items for any issues raised.</w:t>
      </w:r>
    </w:p>
    <w:p>
      <w:pPr>
        <w:pStyle w:val="ListParagraph"/>
        <w:numPr>
          <w:ilvl w:val="1"/>
          <w:numId w:val="1"/>
        </w:numPr>
        <w:spacing w:after="40"/>
      </w:pPr>
      <w:r>
        <w:t xml:space="preserve">Schedule a 30-minute meeting in a private setting (not the break room or hallway)</w:t>
      </w:r>
    </w:p>
    <w:p>
      <w:pPr>
        <w:pStyle w:val="ListParagraph"/>
        <w:numPr>
          <w:ilvl w:val="1"/>
          <w:numId w:val="1"/>
        </w:numPr>
        <w:spacing w:after="40"/>
      </w:pPr>
      <w:r>
        <w:t xml:space="preserve">Use the 14-day check-in template from the HRIS to guide the conversation</w:t>
      </w:r>
    </w:p>
    <w:p>
      <w:pPr>
        <w:pStyle w:val="ListParagraph"/>
        <w:numPr>
          <w:ilvl w:val="1"/>
          <w:numId w:val="1"/>
        </w:numPr>
        <w:spacing w:after="40"/>
      </w:pPr>
      <w:r>
        <w:t xml:space="preserve">Review the competency checklist progress — are any skills falling behind?</w:t>
      </w:r>
    </w:p>
    <w:p>
      <w:pPr>
        <w:pStyle w:val="ListParagraph"/>
        <w:numPr>
          <w:ilvl w:val="1"/>
          <w:numId w:val="1"/>
        </w:numPr>
        <w:spacing w:after="40"/>
      </w:pPr>
      <w:r>
        <w:t xml:space="preserve">Ask specifically about access issues: Can you log in to everything? Is your badge working?</w:t>
      </w:r>
    </w:p>
    <w:p>
      <w:pPr>
        <w:pStyle w:val="ListParagraph"/>
        <w:numPr>
          <w:ilvl w:val="1"/>
          <w:numId w:val="1"/>
        </w:numPr>
        <w:spacing w:after="40"/>
      </w:pPr>
      <w:r>
        <w:t xml:space="preserve">Document the conversation and any follow-up items in the HRIS</w:t>
      </w:r>
    </w:p>
    <w:p>
      <w:pPr>
        <w:spacing w:after="100"/>
      </w:pPr>
      <w:r>
        <w:rPr>
          <w:i/>
          <w:iCs/>
          <w:color w:val="1F7A4D"/>
        </w:rPr>
        <w:t xml:space="preserve">Tip: Ask the question: 'What is one thing that surprised you about working here?' The answer often reveals process gaps or cultural issues that tenured staff no longer notice.</w:t>
      </w:r>
    </w:p>
    <w:p>
      <w:pPr>
        <w:pStyle w:val="Heading3"/>
        <w:spacing w:after="40" w:before="160"/>
      </w:pPr>
      <w:r>
        <w:t xml:space="preserve">Step 10: Conduct the 30-day check-in and close onboarding</w:t>
      </w:r>
    </w:p>
    <w:p>
      <w:pPr>
        <w:spacing w:after="100"/>
      </w:pPr>
      <w:r>
        <w:t xml:space="preserve">At 30 days, the Hiring Manager conducts the final onboarding check-in. Review competency checklist completion — all required competencies must be validated by day 30 for clinical staff. Confirm benefits enrollment is complete (the window typically closes at 30 days). Verify that all training attestations are on file. If the employee is progressing well, transition from orientation status to regular staff. If competency gaps remain, extend the orientation period with a written plan and timeline.</w:t>
      </w:r>
    </w:p>
    <w:p>
      <w:pPr>
        <w:pStyle w:val="ListParagraph"/>
        <w:numPr>
          <w:ilvl w:val="1"/>
          <w:numId w:val="1"/>
        </w:numPr>
        <w:spacing w:after="40"/>
      </w:pPr>
      <w:r>
        <w:t xml:space="preserve">Review the competency checklist: all items should be signed off or have a documented plan for completion</w:t>
      </w:r>
    </w:p>
    <w:p>
      <w:pPr>
        <w:pStyle w:val="ListParagraph"/>
        <w:numPr>
          <w:ilvl w:val="1"/>
          <w:numId w:val="1"/>
        </w:numPr>
        <w:spacing w:after="40"/>
      </w:pPr>
      <w:r>
        <w:t xml:space="preserve">Confirm benefits enrollment is finalized in the HRIS</w:t>
      </w:r>
    </w:p>
    <w:p>
      <w:pPr>
        <w:pStyle w:val="ListParagraph"/>
        <w:numPr>
          <w:ilvl w:val="1"/>
          <w:numId w:val="1"/>
        </w:numPr>
        <w:spacing w:after="40"/>
      </w:pPr>
      <w:r>
        <w:t xml:space="preserve">Verify all required training attestations are filed (HIPAA, OSHA, fire safety, EHR proficiency)</w:t>
      </w:r>
    </w:p>
    <w:p>
      <w:pPr>
        <w:pStyle w:val="ListParagraph"/>
        <w:numPr>
          <w:ilvl w:val="1"/>
          <w:numId w:val="1"/>
        </w:numPr>
        <w:spacing w:after="40"/>
      </w:pPr>
      <w:r>
        <w:t xml:space="preserve">Transition the employee from orientation status to regular schedule in the staffing system</w:t>
      </w:r>
    </w:p>
    <w:p>
      <w:pPr>
        <w:pStyle w:val="ListParagraph"/>
        <w:numPr>
          <w:ilvl w:val="1"/>
          <w:numId w:val="1"/>
        </w:numPr>
        <w:spacing w:after="40"/>
      </w:pPr>
      <w:r>
        <w:t xml:space="preserve">If extending orientation, document the reason, the remaining competencies, and the new target date</w:t>
      </w:r>
    </w:p>
    <w:p>
      <w:pPr>
        <w:pStyle w:val="ListParagraph"/>
        <w:numPr>
          <w:ilvl w:val="1"/>
          <w:numId w:val="1"/>
        </w:numPr>
        <w:spacing w:after="40"/>
      </w:pPr>
      <w:r>
        <w:t xml:space="preserve">Send the new hire a brief onboarding satisfaction survey through the HRIS</w:t>
      </w:r>
    </w:p>
    <w:p>
      <w:pPr>
        <w:pStyle w:val="Heading2"/>
        <w:spacing w:after="100" w:before="240"/>
      </w:pPr>
      <w:r>
        <w:t xml:space="preserve">Completion Checklist</w:t>
      </w:r>
    </w:p>
    <w:p>
      <w:pPr>
        <w:spacing w:after="40"/>
      </w:pPr>
      <w:r>
        <w:t xml:space="preserve">☐  Pre-boarding packet completed and all documents signed before start date</w:t>
      </w:r>
    </w:p>
    <w:p>
      <w:pPr>
        <w:spacing w:after="40"/>
      </w:pPr>
      <w:r>
        <w:t xml:space="preserve">☐  All professional licenses and certifications verified through primary sources</w:t>
      </w:r>
    </w:p>
    <w:p>
      <w:pPr>
        <w:spacing w:after="40"/>
      </w:pPr>
      <w:r>
        <w:t xml:space="preserve">☐  OIG and SAM exclusion checks completed with no findings</w:t>
      </w:r>
    </w:p>
    <w:p>
      <w:pPr>
        <w:spacing w:after="40"/>
      </w:pPr>
      <w:r>
        <w:t xml:space="preserve">☐  Occupational health clearance issued (TB, immunizations, respirator fit, fit-for-duty)</w:t>
      </w:r>
    </w:p>
    <w:p>
      <w:pPr>
        <w:spacing w:after="40"/>
      </w:pPr>
      <w:r>
        <w:t xml:space="preserve">☐  Facility ID badge issued with correct access levels</w:t>
      </w:r>
    </w:p>
    <w:p>
      <w:pPr>
        <w:spacing w:after="40"/>
      </w:pPr>
      <w:r>
        <w:t xml:space="preserve">☐  Email, network, and EHR accounts created and tested</w:t>
      </w:r>
    </w:p>
    <w:p>
      <w:pPr>
        <w:spacing w:after="40"/>
      </w:pPr>
      <w:r>
        <w:t xml:space="preserve">☐  HIPAA Privacy and Security training completed with signed attestation</w:t>
      </w:r>
    </w:p>
    <w:p>
      <w:pPr>
        <w:spacing w:after="40"/>
      </w:pPr>
      <w:r>
        <w:t xml:space="preserve">☐  OSHA Bloodborne Pathogen training completed with signed attestation</w:t>
      </w:r>
    </w:p>
    <w:p>
      <w:pPr>
        <w:spacing w:after="40"/>
      </w:pPr>
      <w:r>
        <w:t xml:space="preserve">☐  Fire safety and emergency code training completed</w:t>
      </w:r>
    </w:p>
    <w:p>
      <w:pPr>
        <w:spacing w:after="40"/>
      </w:pPr>
      <w:r>
        <w:t xml:space="preserve">☐  EHR proficiency assessment passed</w:t>
      </w:r>
    </w:p>
    <w:p>
      <w:pPr>
        <w:spacing w:after="40"/>
      </w:pPr>
      <w:r>
        <w:t xml:space="preserve">☐  Department-specific orientation completed with preceptor</w:t>
      </w:r>
    </w:p>
    <w:p>
      <w:pPr>
        <w:spacing w:after="40"/>
      </w:pPr>
      <w:r>
        <w:t xml:space="preserve">☐  Buddy assigned and actively paired for first 30 days</w:t>
      </w:r>
    </w:p>
    <w:p>
      <w:pPr>
        <w:spacing w:after="40"/>
      </w:pPr>
      <w:r>
        <w:t xml:space="preserve">☐  14-day check-in completed and documented in HRIS</w:t>
      </w:r>
    </w:p>
    <w:p>
      <w:pPr>
        <w:spacing w:after="40"/>
      </w:pPr>
      <w:r>
        <w:t xml:space="preserve">☐  30-day check-in completed and all competencies validated</w:t>
      </w:r>
    </w:p>
    <w:p>
      <w:pPr>
        <w:spacing w:after="40"/>
      </w:pPr>
      <w:r>
        <w:t xml:space="preserve">☐  Benefits enrollment finalized within the 30-day window</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from offer acceptance to day-one readiness</w:t>
            </w:r>
          </w:p>
        </w:tc>
        <w:tc>
          <w:tcPr>
            <w:tcMar>
              <w:top w:type="dxa" w:w="60"/>
              <w:left w:type="dxa" w:w="120"/>
              <w:bottom w:type="dxa" w:w="60"/>
              <w:right w:type="dxa" w:w="120"/>
            </w:tcMar>
          </w:tcPr>
          <w:p>
            <w:r>
              <w:rPr>
                <w:b w:val="false"/>
                <w:bCs w:val="false"/>
              </w:rPr>
              <w:t xml:space="preserve">Under 21 calendar days for non-clinical staff; under 30 days for clinical staff requiring credentialing</w:t>
            </w:r>
          </w:p>
        </w:tc>
      </w:tr>
      <w:tr>
        <w:trPr>
          <w:tblHeader w:val="false"/>
        </w:trPr>
        <w:tc>
          <w:tcPr>
            <w:tcMar>
              <w:top w:type="dxa" w:w="60"/>
              <w:left w:type="dxa" w:w="120"/>
              <w:bottom w:type="dxa" w:w="60"/>
              <w:right w:type="dxa" w:w="120"/>
            </w:tcMar>
          </w:tcPr>
          <w:p>
            <w:r>
              <w:rPr>
                <w:b w:val="false"/>
                <w:bCs w:val="false"/>
              </w:rPr>
              <w:t xml:space="preserve">Credentialing verification completion rate</w:t>
            </w:r>
          </w:p>
        </w:tc>
        <w:tc>
          <w:tcPr>
            <w:tcMar>
              <w:top w:type="dxa" w:w="60"/>
              <w:left w:type="dxa" w:w="120"/>
              <w:bottom w:type="dxa" w:w="60"/>
              <w:right w:type="dxa" w:w="120"/>
            </w:tcMar>
          </w:tcPr>
          <w:p>
            <w:r>
              <w:rPr>
                <w:b w:val="false"/>
                <w:bCs w:val="false"/>
              </w:rPr>
              <w:t xml:space="preserve">100% of credentials verified before first patient care shift</w:t>
            </w:r>
          </w:p>
        </w:tc>
      </w:tr>
      <w:tr>
        <w:trPr>
          <w:tblHeader w:val="false"/>
        </w:trPr>
        <w:tc>
          <w:tcPr>
            <w:tcMar>
              <w:top w:type="dxa" w:w="60"/>
              <w:left w:type="dxa" w:w="120"/>
              <w:bottom w:type="dxa" w:w="60"/>
              <w:right w:type="dxa" w:w="120"/>
            </w:tcMar>
          </w:tcPr>
          <w:p>
            <w:r>
              <w:rPr>
                <w:b w:val="false"/>
                <w:bCs w:val="false"/>
              </w:rPr>
              <w:t xml:space="preserve">EHR proficiency pass rate on first attempt</w:t>
            </w:r>
          </w:p>
        </w:tc>
        <w:tc>
          <w:tcPr>
            <w:tcMar>
              <w:top w:type="dxa" w:w="60"/>
              <w:left w:type="dxa" w:w="120"/>
              <w:bottom w:type="dxa" w:w="60"/>
              <w:right w:type="dxa" w:w="120"/>
            </w:tcMar>
          </w:tcPr>
          <w:p>
            <w:r>
              <w:rPr>
                <w:b w:val="false"/>
                <w:bCs w:val="false"/>
              </w:rPr>
              <w:t xml:space="preserve">Above 85%</w:t>
            </w:r>
          </w:p>
        </w:tc>
      </w:tr>
      <w:tr>
        <w:trPr>
          <w:tblHeader w:val="false"/>
        </w:trPr>
        <w:tc>
          <w:tcPr>
            <w:tcMar>
              <w:top w:type="dxa" w:w="60"/>
              <w:left w:type="dxa" w:w="120"/>
              <w:bottom w:type="dxa" w:w="60"/>
              <w:right w:type="dxa" w:w="120"/>
            </w:tcMar>
          </w:tcPr>
          <w:p>
            <w:r>
              <w:rPr>
                <w:b w:val="false"/>
                <w:bCs w:val="false"/>
              </w:rPr>
              <w:t xml:space="preserve">30-day competency validation completion</w:t>
            </w:r>
          </w:p>
        </w:tc>
        <w:tc>
          <w:tcPr>
            <w:tcMar>
              <w:top w:type="dxa" w:w="60"/>
              <w:left w:type="dxa" w:w="120"/>
              <w:bottom w:type="dxa" w:w="60"/>
              <w:right w:type="dxa" w:w="120"/>
            </w:tcMar>
          </w:tcPr>
          <w:p>
            <w:r>
              <w:rPr>
                <w:b w:val="false"/>
                <w:bCs w:val="false"/>
              </w:rPr>
              <w:t xml:space="preserve">90% of new clinical hires fully validated by day 30</w:t>
            </w:r>
          </w:p>
        </w:tc>
      </w:tr>
      <w:tr>
        <w:trPr>
          <w:tblHeader w:val="false"/>
        </w:trPr>
        <w:tc>
          <w:tcPr>
            <w:tcMar>
              <w:top w:type="dxa" w:w="60"/>
              <w:left w:type="dxa" w:w="120"/>
              <w:bottom w:type="dxa" w:w="60"/>
              <w:right w:type="dxa" w:w="120"/>
            </w:tcMar>
          </w:tcPr>
          <w:p>
            <w:r>
              <w:rPr>
                <w:b w:val="false"/>
                <w:bCs w:val="false"/>
              </w:rPr>
              <w:t xml:space="preserve">90-day voluntary turnover rate</w:t>
            </w:r>
          </w:p>
        </w:tc>
        <w:tc>
          <w:tcPr>
            <w:tcMar>
              <w:top w:type="dxa" w:w="60"/>
              <w:left w:type="dxa" w:w="120"/>
              <w:bottom w:type="dxa" w:w="60"/>
              <w:right w:type="dxa" w:w="120"/>
            </w:tcMar>
          </w:tcPr>
          <w:p>
            <w:r>
              <w:rPr>
                <w:b w:val="false"/>
                <w:bCs w:val="false"/>
              </w:rPr>
              <w:t xml:space="preserve">Below 5% — high early turnover signals onboarding problems</w:t>
            </w:r>
          </w:p>
        </w:tc>
      </w:tr>
    </w:tbl>
    <w:p>
      <w:pPr>
        <w:pStyle w:val="Heading2"/>
        <w:spacing w:after="100" w:before="240"/>
      </w:pPr>
      <w:r>
        <w:t xml:space="preserve">Revision Schedule</w:t>
      </w:r>
    </w:p>
    <w:p>
      <w:pPr>
        <w:spacing w:after="100"/>
      </w:pPr>
      <w:r>
        <w:t xml:space="preserve">Every 6 months, after changes to credentialing requirements or regulatory standards, or when switching HRIS or EHR platforms.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Onboarding SOP Template for Healthcare Teams</dc:title>
  <dc:creator>Glyde</dc:creator>
  <dc:description>Free employee onboarding SOP template for healthcare HR teams. Covers credentialing, occupational health clearance, EHR provisioning, HIPAA training, and clinical orientation.</dc:description>
  <cp:lastModifiedBy>Un-named</cp:lastModifiedBy>
  <cp:revision>1</cp:revision>
  <dcterms:created xsi:type="dcterms:W3CDTF">2026-07-22T08:34:35.576Z</dcterms:created>
  <dcterms:modified xsi:type="dcterms:W3CDTF">2026-07-22T08:34:35.576Z</dcterms:modified>
</cp:coreProperties>
</file>

<file path=docProps/custom.xml><?xml version="1.0" encoding="utf-8"?>
<Properties xmlns="http://schemas.openxmlformats.org/officeDocument/2006/custom-properties" xmlns:vt="http://schemas.openxmlformats.org/officeDocument/2006/docPropsVTypes"/>
</file>