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Legal Employee Onboarding Standard Operating Procedure Template</w:t>
      </w:r>
    </w:p>
    <w:p>
      <w:pPr>
        <w:spacing w:after="200"/>
      </w:pPr>
      <w:r>
        <w:rPr>
          <w:i/>
          <w:iCs/>
          <w:color w:val="6B7280"/>
        </w:rPr>
        <w:t xml:space="preserve">Free employee onboarding SOP for law firms. Covers bar verification, system access, conflict training, and first-week setup.</w:t>
      </w:r>
    </w:p>
    <w:p>
      <w:pPr>
        <w:pStyle w:val="Heading2"/>
        <w:spacing w:after="100" w:before="240"/>
      </w:pPr>
      <w:r>
        <w:t xml:space="preserve">Purpose</w:t>
      </w:r>
    </w:p>
    <w:p>
      <w:pPr>
        <w:spacing w:after="100"/>
      </w:pPr>
      <w:r>
        <w:t xml:space="preserve">Standardize onboarding for all law firm hires — attorneys, paralegals, and administrative staff — so they can handle confidential client matters safely within their first 2 weeks. This SOP ensures bar verification for attorneys, conflict-of-interest training, and proper access to Clio and NetDocuments before any client work begins.</w:t>
      </w:r>
    </w:p>
    <w:p>
      <w:pPr>
        <w:pStyle w:val="Heading2"/>
        <w:spacing w:after="100" w:before="240"/>
      </w:pPr>
      <w:r>
        <w:t xml:space="preserve">Scope</w:t>
      </w:r>
    </w:p>
    <w:p>
      <w:pPr>
        <w:spacing w:after="100"/>
      </w:pPr>
      <w:r>
        <w:t xml:space="preserve">Covers pre-start through 30-day review for all new hires. Separate procedures exist for lateral partner onboarding and temporary/contract attorney setup.</w:t>
      </w:r>
    </w:p>
    <w:p>
      <w:pPr>
        <w:pStyle w:val="Heading2"/>
        <w:spacing w:after="100" w:before="240"/>
      </w:pPr>
      <w:r>
        <w:t xml:space="preserve">Prerequisites</w:t>
      </w:r>
    </w:p>
    <w:p>
      <w:pPr>
        <w:pStyle w:val="ListParagraph"/>
        <w:numPr>
          <w:ilvl w:val="0"/>
          <w:numId w:val="1"/>
        </w:numPr>
        <w:spacing w:after="40"/>
      </w:pPr>
      <w:r>
        <w:t xml:space="preserve">Signed offer letter and completed background check</w:t>
      </w:r>
    </w:p>
    <w:p>
      <w:pPr>
        <w:pStyle w:val="ListParagraph"/>
        <w:numPr>
          <w:ilvl w:val="0"/>
          <w:numId w:val="1"/>
        </w:numPr>
        <w:spacing w:after="40"/>
      </w:pPr>
      <w:r>
        <w:t xml:space="preserve">Bar admission verified for attorney hires (primary and any reciprocal admissions)</w:t>
      </w:r>
    </w:p>
    <w:p>
      <w:pPr>
        <w:pStyle w:val="ListParagraph"/>
        <w:numPr>
          <w:ilvl w:val="0"/>
          <w:numId w:val="1"/>
        </w:numPr>
        <w:spacing w:after="40"/>
      </w:pPr>
      <w:r>
        <w:t xml:space="preserve">Clio, NetDocuments, and Microsoft 365 licenses procured</w:t>
      </w:r>
    </w:p>
    <w:p>
      <w:pPr>
        <w:pStyle w:val="ListParagraph"/>
        <w:numPr>
          <w:ilvl w:val="0"/>
          <w:numId w:val="1"/>
        </w:numPr>
        <w:spacing w:after="40"/>
      </w:pPr>
      <w:r>
        <w:t xml:space="preserve">Office or workstation assigned with phone extension configured</w:t>
      </w:r>
    </w:p>
    <w:p>
      <w:pPr>
        <w:pStyle w:val="ListParagraph"/>
        <w:numPr>
          <w:ilvl w:val="0"/>
          <w:numId w:val="1"/>
        </w:numPr>
        <w:spacing w:after="40"/>
      </w:pPr>
      <w:r>
        <w:t xml:space="preserve">Onboarding buddy assigned (same role type, different practice group)</w:t>
      </w:r>
    </w:p>
    <w:p>
      <w:pPr>
        <w:pStyle w:val="Heading2"/>
        <w:spacing w:after="100" w:before="240"/>
      </w:pPr>
      <w:r>
        <w:t xml:space="preserve">Roles &amp; Responsibilities</w:t>
      </w:r>
    </w:p>
    <w:p>
      <w:pPr>
        <w:spacing w:after="40" w:before="120"/>
      </w:pPr>
      <w:r>
        <w:rPr>
          <w:b/>
          <w:bCs/>
        </w:rPr>
        <w:t xml:space="preserve">Office Manager</w:t>
      </w:r>
    </w:p>
    <w:p>
      <w:pPr>
        <w:pStyle w:val="ListParagraph"/>
        <w:numPr>
          <w:ilvl w:val="0"/>
          <w:numId w:val="1"/>
        </w:numPr>
        <w:spacing w:after="40"/>
      </w:pPr>
      <w:r>
        <w:t xml:space="preserve">Provision Clio, NetDocuments, and Microsoft 365 accounts before Day 1</w:t>
      </w:r>
    </w:p>
    <w:p>
      <w:pPr>
        <w:pStyle w:val="ListParagraph"/>
        <w:numPr>
          <w:ilvl w:val="0"/>
          <w:numId w:val="1"/>
        </w:numPr>
        <w:spacing w:after="40"/>
      </w:pPr>
      <w:r>
        <w:t xml:space="preserve">Configure phone extension and voicemail with firm greeting template</w:t>
      </w:r>
    </w:p>
    <w:p>
      <w:pPr>
        <w:pStyle w:val="ListParagraph"/>
        <w:numPr>
          <w:ilvl w:val="0"/>
          <w:numId w:val="1"/>
        </w:numPr>
        <w:spacing w:after="40"/>
      </w:pPr>
      <w:r>
        <w:t xml:space="preserve">Order business cards and nameplates 5 days before start date</w:t>
      </w:r>
    </w:p>
    <w:p>
      <w:pPr>
        <w:spacing w:after="40" w:before="120"/>
      </w:pPr>
      <w:r>
        <w:rPr>
          <w:b/>
          <w:bCs/>
        </w:rPr>
        <w:t xml:space="preserve">HR Manager</w:t>
      </w:r>
    </w:p>
    <w:p>
      <w:pPr>
        <w:pStyle w:val="ListParagraph"/>
        <w:numPr>
          <w:ilvl w:val="0"/>
          <w:numId w:val="1"/>
        </w:numPr>
        <w:spacing w:after="40"/>
      </w:pPr>
      <w:r>
        <w:t xml:space="preserve">Send welcome packet with benefits enrollment and firm handbook 3 days before start</w:t>
      </w:r>
    </w:p>
    <w:p>
      <w:pPr>
        <w:pStyle w:val="ListParagraph"/>
        <w:numPr>
          <w:ilvl w:val="0"/>
          <w:numId w:val="1"/>
        </w:numPr>
        <w:spacing w:after="40"/>
      </w:pPr>
      <w:r>
        <w:t xml:space="preserve">Run Day 1 orientation covering firm policies, confidentiality obligations, and PTO</w:t>
      </w:r>
    </w:p>
    <w:p>
      <w:pPr>
        <w:pStyle w:val="ListParagraph"/>
        <w:numPr>
          <w:ilvl w:val="0"/>
          <w:numId w:val="1"/>
        </w:numPr>
        <w:spacing w:after="40"/>
      </w:pPr>
      <w:r>
        <w:t xml:space="preserve">Schedule 14-day and 30-day check-ins</w:t>
      </w:r>
    </w:p>
    <w:p>
      <w:pPr>
        <w:spacing w:after="40" w:before="120"/>
      </w:pPr>
      <w:r>
        <w:rPr>
          <w:b/>
          <w:bCs/>
        </w:rPr>
        <w:t xml:space="preserve">Managing Partner or Practice Group Lead</w:t>
      </w:r>
    </w:p>
    <w:p>
      <w:pPr>
        <w:pStyle w:val="ListParagraph"/>
        <w:numPr>
          <w:ilvl w:val="0"/>
          <w:numId w:val="1"/>
        </w:numPr>
        <w:spacing w:after="40"/>
      </w:pPr>
      <w:r>
        <w:t xml:space="preserve">Assign initial matters appropriate for the new hire's experience level</w:t>
      </w:r>
    </w:p>
    <w:p>
      <w:pPr>
        <w:pStyle w:val="ListParagraph"/>
        <w:numPr>
          <w:ilvl w:val="0"/>
          <w:numId w:val="1"/>
        </w:numPr>
        <w:spacing w:after="40"/>
      </w:pPr>
      <w:r>
        <w:t xml:space="preserve">Conduct a 45-minute working session on firm billing practices and rate structures</w:t>
      </w:r>
    </w:p>
    <w:p>
      <w:pPr>
        <w:pStyle w:val="ListParagraph"/>
        <w:numPr>
          <w:ilvl w:val="0"/>
          <w:numId w:val="1"/>
        </w:numPr>
        <w:spacing w:after="40"/>
      </w:pPr>
      <w:r>
        <w:t xml:space="preserve">Review the 30-day performance milestones</w:t>
      </w:r>
    </w:p>
    <w:p>
      <w:pPr>
        <w:spacing w:after="40" w:before="120"/>
      </w:pPr>
      <w:r>
        <w:rPr>
          <w:b/>
          <w:bCs/>
        </w:rPr>
        <w:t xml:space="preserve">IT Administrator</w:t>
      </w:r>
    </w:p>
    <w:p>
      <w:pPr>
        <w:pStyle w:val="ListParagraph"/>
        <w:numPr>
          <w:ilvl w:val="0"/>
          <w:numId w:val="1"/>
        </w:numPr>
        <w:spacing w:after="40"/>
      </w:pPr>
      <w:r>
        <w:t xml:space="preserve">Set up Clio access with role-appropriate permissions</w:t>
      </w:r>
    </w:p>
    <w:p>
      <w:pPr>
        <w:pStyle w:val="ListParagraph"/>
        <w:numPr>
          <w:ilvl w:val="0"/>
          <w:numId w:val="1"/>
        </w:numPr>
        <w:spacing w:after="40"/>
      </w:pPr>
      <w:r>
        <w:t xml:space="preserve">Configure NetDocuments workspace access limited to assigned practice groups</w:t>
      </w:r>
    </w:p>
    <w:p>
      <w:pPr>
        <w:pStyle w:val="ListParagraph"/>
        <w:numPr>
          <w:ilvl w:val="0"/>
          <w:numId w:val="1"/>
        </w:numPr>
        <w:spacing w:after="40"/>
      </w:pPr>
      <w:r>
        <w:t xml:space="preserve">Enable MFA on all accounts before granting access to client data</w:t>
      </w:r>
    </w:p>
    <w:p>
      <w:pPr>
        <w:pStyle w:val="Heading2"/>
        <w:spacing w:after="100" w:before="240"/>
      </w:pPr>
      <w:r>
        <w:t xml:space="preserve">Procedure</w:t>
      </w:r>
    </w:p>
    <w:p>
      <w:pPr>
        <w:pStyle w:val="Heading3"/>
        <w:spacing w:after="40" w:before="160"/>
      </w:pPr>
      <w:r>
        <w:t xml:space="preserve">Step 1: Verify bar admission and credentials</w:t>
      </w:r>
    </w:p>
    <w:p>
      <w:pPr>
        <w:spacing w:after="100"/>
      </w:pPr>
      <w:r>
        <w:t xml:space="preserve">For attorney hires, confirm bar admission status with the relevant state bar before the start date. Check for any disciplinary history. For paralegals, verify certifications if required by firm policy. Document verification in the personnel file.</w:t>
      </w:r>
    </w:p>
    <w:p>
      <w:pPr>
        <w:pStyle w:val="ListParagraph"/>
        <w:numPr>
          <w:ilvl w:val="1"/>
          <w:numId w:val="1"/>
        </w:numPr>
        <w:spacing w:after="40"/>
      </w:pPr>
      <w:r>
        <w:t xml:space="preserve">Search the state bar's public attorney directory for active status</w:t>
      </w:r>
    </w:p>
    <w:p>
      <w:pPr>
        <w:pStyle w:val="ListParagraph"/>
        <w:numPr>
          <w:ilvl w:val="1"/>
          <w:numId w:val="1"/>
        </w:numPr>
        <w:spacing w:after="40"/>
      </w:pPr>
      <w:r>
        <w:t xml:space="preserve">Confirm any reciprocal admissions for multi-jurisdiction practice</w:t>
      </w:r>
    </w:p>
    <w:p>
      <w:pPr>
        <w:pStyle w:val="ListParagraph"/>
        <w:numPr>
          <w:ilvl w:val="1"/>
          <w:numId w:val="1"/>
        </w:numPr>
        <w:spacing w:after="40"/>
      </w:pPr>
      <w:r>
        <w:t xml:space="preserve">Check for disciplinary history or pending complaints</w:t>
      </w:r>
    </w:p>
    <w:p>
      <w:pPr>
        <w:pStyle w:val="ListParagraph"/>
        <w:numPr>
          <w:ilvl w:val="1"/>
          <w:numId w:val="1"/>
        </w:numPr>
        <w:spacing w:after="40"/>
      </w:pPr>
      <w:r>
        <w:t xml:space="preserve">Save verification screenshots to the personnel file in NetDocuments</w:t>
      </w:r>
    </w:p>
    <w:p>
      <w:pPr>
        <w:spacing w:after="100"/>
      </w:pPr>
      <w:r>
        <w:rPr>
          <w:i/>
          <w:iCs/>
          <w:color w:val="B45309"/>
        </w:rPr>
        <w:t xml:space="preserve">Warning: Never allow an attorney to appear on firm letterhead or sign pleadings before bar verification is complete. An unverified attorney practicing law exposes the firm to unauthorized practice liability.</w:t>
      </w:r>
    </w:p>
    <w:p>
      <w:pPr>
        <w:pStyle w:val="Heading3"/>
        <w:spacing w:after="40" w:before="160"/>
      </w:pPr>
      <w:r>
        <w:t xml:space="preserve">Step 2: Provision system accounts and access</w:t>
      </w:r>
    </w:p>
    <w:p>
      <w:pPr>
        <w:spacing w:after="100"/>
      </w:pPr>
      <w:r>
        <w:t xml:space="preserve">IT creates accounts in Clio (case management), NetDocuments (document management), and Microsoft 365 (email/calendar). For attorneys, set Clio permissions to allow matter creation and time entry. For paralegals and staff, set read/edit access appropriate to their role. Enable MFA on all accounts.</w:t>
      </w:r>
    </w:p>
    <w:p>
      <w:pPr>
        <w:pStyle w:val="ListParagraph"/>
        <w:numPr>
          <w:ilvl w:val="1"/>
          <w:numId w:val="1"/>
        </w:numPr>
        <w:spacing w:after="40"/>
      </w:pPr>
      <w:r>
        <w:t xml:space="preserve">Create Clio account with role-based permissions</w:t>
      </w:r>
    </w:p>
    <w:p>
      <w:pPr>
        <w:pStyle w:val="ListParagraph"/>
        <w:numPr>
          <w:ilvl w:val="1"/>
          <w:numId w:val="1"/>
        </w:numPr>
        <w:spacing w:after="40"/>
      </w:pPr>
      <w:r>
        <w:t xml:space="preserve">Set up NetDocuments workspace access limited to assigned practice groups</w:t>
      </w:r>
    </w:p>
    <w:p>
      <w:pPr>
        <w:pStyle w:val="ListParagraph"/>
        <w:numPr>
          <w:ilvl w:val="1"/>
          <w:numId w:val="1"/>
        </w:numPr>
        <w:spacing w:after="40"/>
      </w:pPr>
      <w:r>
        <w:t xml:space="preserve">Create Microsoft 365 account and add to firm distribution lists</w:t>
      </w:r>
    </w:p>
    <w:p>
      <w:pPr>
        <w:pStyle w:val="ListParagraph"/>
        <w:numPr>
          <w:ilvl w:val="1"/>
          <w:numId w:val="1"/>
        </w:numPr>
        <w:spacing w:after="40"/>
      </w:pPr>
      <w:r>
        <w:t xml:space="preserve">Enable MFA and verify it's working before granting access to client data</w:t>
      </w:r>
    </w:p>
    <w:p>
      <w:pPr>
        <w:spacing w:after="100"/>
      </w:pPr>
      <w:r>
        <w:rPr>
          <w:i/>
          <w:iCs/>
          <w:color w:val="1F7A4D"/>
        </w:rPr>
        <w:t xml:space="preserve">Tip: Restrict NetDocuments access to the new hire's assigned practice groups only. Broader access can be granted after the 30-day review once they've completed conflict training.</w:t>
      </w:r>
    </w:p>
    <w:p>
      <w:pPr>
        <w:pStyle w:val="Heading3"/>
        <w:spacing w:after="40" w:before="160"/>
      </w:pPr>
      <w:r>
        <w:t xml:space="preserve">Step 3: Run Day 1 orientation</w:t>
      </w:r>
    </w:p>
    <w:p>
      <w:pPr>
        <w:spacing w:after="100"/>
      </w:pPr>
      <w:r>
        <w:t xml:space="preserve">HR leads a 90-minute orientation covering: firm history and structure, confidentiality obligations, conflict of interest policies, billing expectations, PTO and benefits enrollment, and the firm handbook acknowledgment. For attorneys, include a section on the firm's malpractice insurance coverage and reporting requirements.</w:t>
      </w:r>
    </w:p>
    <w:p>
      <w:pPr>
        <w:pStyle w:val="ListParagraph"/>
        <w:numPr>
          <w:ilvl w:val="1"/>
          <w:numId w:val="1"/>
        </w:numPr>
        <w:spacing w:after="40"/>
      </w:pPr>
      <w:r>
        <w:t xml:space="preserve">Firm overview and practice group structure (20 min)</w:t>
      </w:r>
    </w:p>
    <w:p>
      <w:pPr>
        <w:pStyle w:val="ListParagraph"/>
        <w:numPr>
          <w:ilvl w:val="1"/>
          <w:numId w:val="1"/>
        </w:numPr>
        <w:spacing w:after="40"/>
      </w:pPr>
      <w:r>
        <w:t xml:space="preserve">Confidentiality obligations and client data handling (20 min)</w:t>
      </w:r>
    </w:p>
    <w:p>
      <w:pPr>
        <w:pStyle w:val="ListParagraph"/>
        <w:numPr>
          <w:ilvl w:val="1"/>
          <w:numId w:val="1"/>
        </w:numPr>
        <w:spacing w:after="40"/>
      </w:pPr>
      <w:r>
        <w:t xml:space="preserve">Conflict of interest identification and reporting procedures (15 min)</w:t>
      </w:r>
    </w:p>
    <w:p>
      <w:pPr>
        <w:pStyle w:val="ListParagraph"/>
        <w:numPr>
          <w:ilvl w:val="1"/>
          <w:numId w:val="1"/>
        </w:numPr>
        <w:spacing w:after="40"/>
      </w:pPr>
      <w:r>
        <w:t xml:space="preserve">Benefits enrollment walkthrough — deadline is 30 days from start (15 min)</w:t>
      </w:r>
    </w:p>
    <w:p>
      <w:pPr>
        <w:pStyle w:val="ListParagraph"/>
        <w:numPr>
          <w:ilvl w:val="1"/>
          <w:numId w:val="1"/>
        </w:numPr>
        <w:spacing w:after="40"/>
      </w:pPr>
      <w:r>
        <w:t xml:space="preserve">Firm handbook review and signed acknowledgment (20 min)</w:t>
      </w:r>
    </w:p>
    <w:p>
      <w:pPr>
        <w:pStyle w:val="Heading3"/>
        <w:spacing w:after="40" w:before="160"/>
      </w:pPr>
      <w:r>
        <w:t xml:space="preserve">Step 4: Conduct conflict of interest training</w:t>
      </w:r>
    </w:p>
    <w:p>
      <w:pPr>
        <w:spacing w:after="100"/>
      </w:pPr>
      <w:r>
        <w:t xml:space="preserve">Within the first 3 days, the compliance specialist or managing partner runs a 60-minute training on the firm's conflict check procedures. Cover how to identify potential conflicts, how to run a check in Clio, what to do when a conflict is identified, and the firm's ethical wall policies. This is mandatory for all roles, not just attorneys.</w:t>
      </w:r>
    </w:p>
    <w:p>
      <w:pPr>
        <w:spacing w:after="100"/>
      </w:pPr>
      <w:r>
        <w:rPr>
          <w:i/>
          <w:iCs/>
          <w:color w:val="B45309"/>
        </w:rPr>
        <w:t xml:space="preserve">Warning: Paralegals and administrative staff also need conflict training. A paralegal who unknowingly accesses a conflicted matter creates the same ethical issue as an attorney doing so.</w:t>
      </w:r>
    </w:p>
    <w:p>
      <w:pPr>
        <w:pStyle w:val="Heading3"/>
        <w:spacing w:after="40" w:before="160"/>
      </w:pPr>
      <w:r>
        <w:t xml:space="preserve">Step 5: Billing and timekeeping training</w:t>
      </w:r>
    </w:p>
    <w:p>
      <w:pPr>
        <w:spacing w:after="100"/>
      </w:pPr>
      <w:r>
        <w:t xml:space="preserve">The practice group lead walks the new hire through the firm's billing practices in Clio: how to enter time, minimum billing increments (typically 0.1 or 0.25 hours), narrative descriptions that meet client billing guidelines, and the monthly billing deadline. For attorneys, include target billable hours expectations.</w:t>
      </w:r>
    </w:p>
    <w:p>
      <w:pPr>
        <w:pStyle w:val="ListParagraph"/>
        <w:numPr>
          <w:ilvl w:val="1"/>
          <w:numId w:val="1"/>
        </w:numPr>
        <w:spacing w:after="40"/>
      </w:pPr>
      <w:r>
        <w:t xml:space="preserve">Demonstrate time entry in Clio with proper matter codes</w:t>
      </w:r>
    </w:p>
    <w:p>
      <w:pPr>
        <w:pStyle w:val="ListParagraph"/>
        <w:numPr>
          <w:ilvl w:val="1"/>
          <w:numId w:val="1"/>
        </w:numPr>
        <w:spacing w:after="40"/>
      </w:pPr>
      <w:r>
        <w:t xml:space="preserve">Review the firm's billing narrative standards (no block billing, specific descriptions)</w:t>
      </w:r>
    </w:p>
    <w:p>
      <w:pPr>
        <w:pStyle w:val="ListParagraph"/>
        <w:numPr>
          <w:ilvl w:val="1"/>
          <w:numId w:val="1"/>
        </w:numPr>
        <w:spacing w:after="40"/>
      </w:pPr>
      <w:r>
        <w:t xml:space="preserve">Explain client-specific billing guidelines for major clients</w:t>
      </w:r>
    </w:p>
    <w:p>
      <w:pPr>
        <w:pStyle w:val="ListParagraph"/>
        <w:numPr>
          <w:ilvl w:val="1"/>
          <w:numId w:val="1"/>
        </w:numPr>
        <w:spacing w:after="40"/>
      </w:pPr>
      <w:r>
        <w:t xml:space="preserve">Set up Clio timer widget on the new hire's desktop</w:t>
      </w:r>
    </w:p>
    <w:p>
      <w:pPr>
        <w:pStyle w:val="Heading3"/>
        <w:spacing w:after="40" w:before="160"/>
      </w:pPr>
      <w:r>
        <w:t xml:space="preserve">Step 6: Assign initial matters and introduce the team</w:t>
      </w:r>
    </w:p>
    <w:p>
      <w:pPr>
        <w:spacing w:after="100"/>
      </w:pPr>
      <w:r>
        <w:t xml:space="preserve">By end of Day 2, the practice group lead assigns 2-3 matters appropriate for the new hire's experience level. Walk through each matter's status, key deadlines, and team members. Introduce the new hire to the team and any client contacts they'll be working with.</w:t>
      </w:r>
    </w:p>
    <w:p>
      <w:pPr>
        <w:spacing w:after="100"/>
      </w:pPr>
      <w:r>
        <w:rPr>
          <w:i/>
          <w:iCs/>
          <w:color w:val="1F7A4D"/>
        </w:rPr>
        <w:t xml:space="preserve">Tip: Start with a matter that has a deliverable due within 10 days. A quick early win builds confidence and demonstrates work product style to the supervising attorney.</w:t>
      </w:r>
    </w:p>
    <w:p>
      <w:pPr>
        <w:pStyle w:val="Heading3"/>
        <w:spacing w:after="40" w:before="160"/>
      </w:pPr>
      <w:r>
        <w:t xml:space="preserve">Step 7: Buddy pairing and first-week shadowing</w:t>
      </w:r>
    </w:p>
    <w:p>
      <w:pPr>
        <w:spacing w:after="100"/>
      </w:pPr>
      <w:r>
        <w:t xml:space="preserve">The assigned buddy meets the new hire on Day 1 for a 30-minute coffee chat. During Week 1, the buddy includes the new hire in at least one client call, one internal meeting, and one document drafting session. The buddy covers unwritten norms: how the managing partner prefers memos formatted, which judges require physical filings, where the good coffee is.</w:t>
      </w:r>
    </w:p>
    <w:p>
      <w:pPr>
        <w:pStyle w:val="ListParagraph"/>
        <w:numPr>
          <w:ilvl w:val="1"/>
          <w:numId w:val="1"/>
        </w:numPr>
        <w:spacing w:after="40"/>
      </w:pPr>
      <w:r>
        <w:t xml:space="preserve">Day 1: 30-minute informal introduction</w:t>
      </w:r>
    </w:p>
    <w:p>
      <w:pPr>
        <w:pStyle w:val="ListParagraph"/>
        <w:numPr>
          <w:ilvl w:val="1"/>
          <w:numId w:val="1"/>
        </w:numPr>
        <w:spacing w:after="40"/>
      </w:pPr>
      <w:r>
        <w:t xml:space="preserve">Day 2-3: Shadow a client call or meeting</w:t>
      </w:r>
    </w:p>
    <w:p>
      <w:pPr>
        <w:pStyle w:val="ListParagraph"/>
        <w:numPr>
          <w:ilvl w:val="1"/>
          <w:numId w:val="1"/>
        </w:numPr>
        <w:spacing w:after="40"/>
      </w:pPr>
      <w:r>
        <w:t xml:space="preserve">Day 3-4: Pair on a document drafting task</w:t>
      </w:r>
    </w:p>
    <w:p>
      <w:pPr>
        <w:pStyle w:val="ListParagraph"/>
        <w:numPr>
          <w:ilvl w:val="1"/>
          <w:numId w:val="1"/>
        </w:numPr>
        <w:spacing w:after="40"/>
      </w:pPr>
      <w:r>
        <w:t xml:space="preserve">Day 5: Debrief on the week and answer accumulated questions</w:t>
      </w:r>
    </w:p>
    <w:p>
      <w:pPr>
        <w:pStyle w:val="Heading3"/>
        <w:spacing w:after="40" w:before="160"/>
      </w:pPr>
      <w:r>
        <w:t xml:space="preserve">Step 8: 14-day and 30-day check-ins</w:t>
      </w:r>
    </w:p>
    <w:p>
      <w:pPr>
        <w:spacing w:after="100"/>
      </w:pPr>
      <w:r>
        <w:t xml:space="preserve">HR and the practice group lead conduct check-ins at 14 and 30 days. At 14 days: assess comfort with systems, address any access issues, collect feedback on the onboarding experience. At 30 days: review initial work product, set 90-day goals, and verify all training modules are complete.</w:t>
      </w:r>
    </w:p>
    <w:p>
      <w:pPr>
        <w:pStyle w:val="ListParagraph"/>
        <w:numPr>
          <w:ilvl w:val="1"/>
          <w:numId w:val="1"/>
        </w:numPr>
        <w:spacing w:after="40"/>
      </w:pPr>
      <w:r>
        <w:t xml:space="preserve">14-day: Review system access, comfort level, and any blockers</w:t>
      </w:r>
    </w:p>
    <w:p>
      <w:pPr>
        <w:pStyle w:val="ListParagraph"/>
        <w:numPr>
          <w:ilvl w:val="1"/>
          <w:numId w:val="1"/>
        </w:numPr>
        <w:spacing w:after="40"/>
      </w:pPr>
      <w:r>
        <w:t xml:space="preserve">14-day: Verify conflict training and billing training completed</w:t>
      </w:r>
    </w:p>
    <w:p>
      <w:pPr>
        <w:pStyle w:val="ListParagraph"/>
        <w:numPr>
          <w:ilvl w:val="1"/>
          <w:numId w:val="1"/>
        </w:numPr>
        <w:spacing w:after="40"/>
      </w:pPr>
      <w:r>
        <w:t xml:space="preserve">30-day: Review work product samples with supervising attorney feedback</w:t>
      </w:r>
    </w:p>
    <w:p>
      <w:pPr>
        <w:pStyle w:val="ListParagraph"/>
        <w:numPr>
          <w:ilvl w:val="1"/>
          <w:numId w:val="1"/>
        </w:numPr>
        <w:spacing w:after="40"/>
      </w:pPr>
      <w:r>
        <w:t xml:space="preserve">30-day: Set 90-day goals tied to specific matter contributions</w:t>
      </w:r>
    </w:p>
    <w:p>
      <w:pPr>
        <w:pStyle w:val="Heading2"/>
        <w:spacing w:after="100" w:before="240"/>
      </w:pPr>
      <w:r>
        <w:t xml:space="preserve">Completion Checklist</w:t>
      </w:r>
    </w:p>
    <w:p>
      <w:pPr>
        <w:spacing w:after="40"/>
      </w:pPr>
      <w:r>
        <w:t xml:space="preserve">☐  Bar admission verified and documented (attorneys)</w:t>
      </w:r>
    </w:p>
    <w:p>
      <w:pPr>
        <w:spacing w:after="40"/>
      </w:pPr>
      <w:r>
        <w:t xml:space="preserve">☐  Background check completed</w:t>
      </w:r>
    </w:p>
    <w:p>
      <w:pPr>
        <w:spacing w:after="40"/>
      </w:pPr>
      <w:r>
        <w:t xml:space="preserve">☐  Clio account created with role-appropriate permissions</w:t>
      </w:r>
    </w:p>
    <w:p>
      <w:pPr>
        <w:spacing w:after="40"/>
      </w:pPr>
      <w:r>
        <w:t xml:space="preserve">☐  NetDocuments access configured for assigned practice groups</w:t>
      </w:r>
    </w:p>
    <w:p>
      <w:pPr>
        <w:spacing w:after="40"/>
      </w:pPr>
      <w:r>
        <w:t xml:space="preserve">☐  Microsoft 365 account created with MFA enabled</w:t>
      </w:r>
    </w:p>
    <w:p>
      <w:pPr>
        <w:spacing w:after="40"/>
      </w:pPr>
      <w:r>
        <w:t xml:space="preserve">☐  Phone extension and voicemail configured</w:t>
      </w:r>
    </w:p>
    <w:p>
      <w:pPr>
        <w:spacing w:after="40"/>
      </w:pPr>
      <w:r>
        <w:t xml:space="preserve">☐  Day 1 orientation completed with signed handbook acknowledgment</w:t>
      </w:r>
    </w:p>
    <w:p>
      <w:pPr>
        <w:spacing w:after="40"/>
      </w:pPr>
      <w:r>
        <w:t xml:space="preserve">☐  Conflict of interest training completed within 3 days</w:t>
      </w:r>
    </w:p>
    <w:p>
      <w:pPr>
        <w:spacing w:after="40"/>
      </w:pPr>
      <w:r>
        <w:t xml:space="preserve">☐  Billing and timekeeping training completed within 5 days</w:t>
      </w:r>
    </w:p>
    <w:p>
      <w:pPr>
        <w:spacing w:after="40"/>
      </w:pPr>
      <w:r>
        <w:t xml:space="preserve">☐  Initial matters assigned by end of Day 2</w:t>
      </w:r>
    </w:p>
    <w:p>
      <w:pPr>
        <w:spacing w:after="40"/>
      </w:pPr>
      <w:r>
        <w:t xml:space="preserve">☐  Buddy paired and first-week shadowing completed</w:t>
      </w:r>
    </w:p>
    <w:p>
      <w:pPr>
        <w:spacing w:after="40"/>
      </w:pPr>
      <w:r>
        <w:t xml:space="preserve">☐  14-day check-in conducted</w:t>
      </w:r>
    </w:p>
    <w:p>
      <w:pPr>
        <w:spacing w:after="40"/>
      </w:pPr>
      <w:r>
        <w:t xml:space="preserve">☐  30-day review completed with 90-day goals set</w:t>
      </w:r>
    </w:p>
    <w:p>
      <w:pPr>
        <w:spacing w:after="40"/>
      </w:pPr>
      <w:r>
        <w:t xml:space="preserve">☐  Benefits enrollment completed within 30-day window</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from start date to first billable time entry</w:t>
            </w:r>
          </w:p>
        </w:tc>
        <w:tc>
          <w:tcPr>
            <w:tcMar>
              <w:top w:type="dxa" w:w="60"/>
              <w:left w:type="dxa" w:w="120"/>
              <w:bottom w:type="dxa" w:w="60"/>
              <w:right w:type="dxa" w:w="120"/>
            </w:tcMar>
          </w:tcPr>
          <w:p>
            <w:r>
              <w:rPr>
                <w:b w:val="false"/>
                <w:bCs w:val="false"/>
              </w:rPr>
              <w:t xml:space="preserve">Under 3 business days</w:t>
            </w:r>
          </w:p>
        </w:tc>
      </w:tr>
      <w:tr>
        <w:trPr>
          <w:tblHeader w:val="false"/>
        </w:trPr>
        <w:tc>
          <w:tcPr>
            <w:tcMar>
              <w:top w:type="dxa" w:w="60"/>
              <w:left w:type="dxa" w:w="120"/>
              <w:bottom w:type="dxa" w:w="60"/>
              <w:right w:type="dxa" w:w="120"/>
            </w:tcMar>
          </w:tcPr>
          <w:p>
            <w:r>
              <w:rPr>
                <w:b w:val="false"/>
                <w:bCs w:val="false"/>
              </w:rPr>
              <w:t xml:space="preserve">Conflict training completion</w:t>
            </w:r>
          </w:p>
        </w:tc>
        <w:tc>
          <w:tcPr>
            <w:tcMar>
              <w:top w:type="dxa" w:w="60"/>
              <w:left w:type="dxa" w:w="120"/>
              <w:bottom w:type="dxa" w:w="60"/>
              <w:right w:type="dxa" w:w="120"/>
            </w:tcMar>
          </w:tcPr>
          <w:p>
            <w:r>
              <w:rPr>
                <w:b w:val="false"/>
                <w:bCs w:val="false"/>
              </w:rPr>
              <w:t xml:space="preserve">100% within 3 days of start</w:t>
            </w:r>
          </w:p>
        </w:tc>
      </w:tr>
      <w:tr>
        <w:trPr>
          <w:tblHeader w:val="false"/>
        </w:trPr>
        <w:tc>
          <w:tcPr>
            <w:tcMar>
              <w:top w:type="dxa" w:w="60"/>
              <w:left w:type="dxa" w:w="120"/>
              <w:bottom w:type="dxa" w:w="60"/>
              <w:right w:type="dxa" w:w="120"/>
            </w:tcMar>
          </w:tcPr>
          <w:p>
            <w:r>
              <w:rPr>
                <w:b w:val="false"/>
                <w:bCs w:val="false"/>
              </w:rPr>
              <w:t xml:space="preserve">System access fully provisioned</w:t>
            </w:r>
          </w:p>
        </w:tc>
        <w:tc>
          <w:tcPr>
            <w:tcMar>
              <w:top w:type="dxa" w:w="60"/>
              <w:left w:type="dxa" w:w="120"/>
              <w:bottom w:type="dxa" w:w="60"/>
              <w:right w:type="dxa" w:w="120"/>
            </w:tcMar>
          </w:tcPr>
          <w:p>
            <w:r>
              <w:rPr>
                <w:b w:val="false"/>
                <w:bCs w:val="false"/>
              </w:rPr>
              <w:t xml:space="preserve">Before Day 1</w:t>
            </w:r>
          </w:p>
        </w:tc>
      </w:tr>
      <w:tr>
        <w:trPr>
          <w:tblHeader w:val="false"/>
        </w:trPr>
        <w:tc>
          <w:tcPr>
            <w:tcMar>
              <w:top w:type="dxa" w:w="60"/>
              <w:left w:type="dxa" w:w="120"/>
              <w:bottom w:type="dxa" w:w="60"/>
              <w:right w:type="dxa" w:w="120"/>
            </w:tcMar>
          </w:tcPr>
          <w:p>
            <w:r>
              <w:rPr>
                <w:b w:val="false"/>
                <w:bCs w:val="false"/>
              </w:rPr>
              <w:t xml:space="preserve">30-day milestone completion</w:t>
            </w:r>
          </w:p>
        </w:tc>
        <w:tc>
          <w:tcPr>
            <w:tcMar>
              <w:top w:type="dxa" w:w="60"/>
              <w:left w:type="dxa" w:w="120"/>
              <w:bottom w:type="dxa" w:w="60"/>
              <w:right w:type="dxa" w:w="120"/>
            </w:tcMar>
          </w:tcPr>
          <w:p>
            <w:r>
              <w:rPr>
                <w:b w:val="false"/>
                <w:bCs w:val="false"/>
              </w:rPr>
              <w:t xml:space="preserve">At least 2 of 3 milestones met</w:t>
            </w:r>
          </w:p>
        </w:tc>
      </w:tr>
    </w:tbl>
    <w:p>
      <w:pPr>
        <w:pStyle w:val="Heading2"/>
        <w:spacing w:after="100" w:before="240"/>
      </w:pPr>
      <w:r>
        <w:t xml:space="preserve">Revision Schedule</w:t>
      </w:r>
    </w:p>
    <w:p>
      <w:pPr>
        <w:spacing w:after="100"/>
      </w:pPr>
      <w:r>
        <w:t xml:space="preserve">Annually, or immediately after changes to bar requirements, firm systems, or practice group structure.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Employee Onboarding Standard Operating Procedure Template</dc:title>
  <dc:creator>Glyde</dc:creator>
  <dc:description>Free employee onboarding SOP for law firms. Covers bar verification, system access, conflict training, and first-week setup.</dc:description>
  <cp:lastModifiedBy>Un-named</cp:lastModifiedBy>
  <cp:revision>1</cp:revision>
  <dcterms:created xsi:type="dcterms:W3CDTF">2026-07-22T08:34:35.593Z</dcterms:created>
  <dcterms:modified xsi:type="dcterms:W3CDTF">2026-07-22T08:34:35.593Z</dcterms:modified>
</cp:coreProperties>
</file>

<file path=docProps/custom.xml><?xml version="1.0" encoding="utf-8"?>
<Properties xmlns="http://schemas.openxmlformats.org/officeDocument/2006/custom-properties" xmlns:vt="http://schemas.openxmlformats.org/officeDocument/2006/docPropsVTypes"/>
</file>