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Employee Onboarding SOP Template for Real Estate Teams</w:t>
      </w:r>
    </w:p>
    <w:p>
      <w:pPr>
        <w:spacing w:after="200"/>
      </w:pPr>
      <w:r>
        <w:rPr>
          <w:i/>
          <w:iCs/>
          <w:color w:val="6B7280"/>
        </w:rPr>
        <w:t xml:space="preserve">Free employee onboarding SOP for real estate brokerages. Covers license verification, MLS setup, and agent training.</w:t>
      </w:r>
    </w:p>
    <w:p>
      <w:pPr>
        <w:pStyle w:val="Heading2"/>
        <w:spacing w:after="100" w:before="240"/>
      </w:pPr>
      <w:r>
        <w:t xml:space="preserve">Purpose</w:t>
      </w:r>
    </w:p>
    <w:p>
      <w:pPr>
        <w:spacing w:after="100"/>
      </w:pPr>
      <w:r>
        <w:t xml:space="preserve">Onboard new agents and staff at the brokerage so they can list properties and work with clients within their first week. This SOP ensures license verification, MLS access, Dotloop setup, and Fair Housing training happen before the agent takes any client calls.</w:t>
      </w:r>
    </w:p>
    <w:p>
      <w:pPr>
        <w:pStyle w:val="Heading2"/>
        <w:spacing w:after="100" w:before="240"/>
      </w:pPr>
      <w:r>
        <w:t xml:space="preserve">Scope</w:t>
      </w:r>
    </w:p>
    <w:p>
      <w:pPr>
        <w:spacing w:after="100"/>
      </w:pPr>
      <w:r>
        <w:t xml:space="preserve">Covers new agent and administrative staff onboarding from offer acceptance through 30-day review. Does not cover independent contractor agreement negotiation or commission split discussions.</w:t>
      </w:r>
    </w:p>
    <w:p>
      <w:pPr>
        <w:pStyle w:val="Heading2"/>
        <w:spacing w:after="100" w:before="240"/>
      </w:pPr>
      <w:r>
        <w:t xml:space="preserve">Prerequisites</w:t>
      </w:r>
    </w:p>
    <w:p>
      <w:pPr>
        <w:pStyle w:val="ListParagraph"/>
        <w:numPr>
          <w:ilvl w:val="0"/>
          <w:numId w:val="1"/>
        </w:numPr>
        <w:spacing w:after="40"/>
      </w:pPr>
      <w:r>
        <w:t xml:space="preserve">Active real estate license verified with the state real estate commission</w:t>
      </w:r>
    </w:p>
    <w:p>
      <w:pPr>
        <w:pStyle w:val="ListParagraph"/>
        <w:numPr>
          <w:ilvl w:val="0"/>
          <w:numId w:val="1"/>
        </w:numPr>
        <w:spacing w:after="40"/>
      </w:pPr>
      <w:r>
        <w:t xml:space="preserve">Independent contractor or employment agreement signed</w:t>
      </w:r>
    </w:p>
    <w:p>
      <w:pPr>
        <w:pStyle w:val="ListParagraph"/>
        <w:numPr>
          <w:ilvl w:val="0"/>
          <w:numId w:val="1"/>
        </w:numPr>
        <w:spacing w:after="40"/>
      </w:pPr>
      <w:r>
        <w:t xml:space="preserve">Dotloop, MLS, and Zillow accounts available for provisioning</w:t>
      </w:r>
    </w:p>
    <w:p>
      <w:pPr>
        <w:pStyle w:val="ListParagraph"/>
        <w:numPr>
          <w:ilvl w:val="0"/>
          <w:numId w:val="1"/>
        </w:numPr>
        <w:spacing w:after="40"/>
      </w:pPr>
      <w:r>
        <w:t xml:space="preserve">Fair Housing training materials current</w:t>
      </w:r>
    </w:p>
    <w:p>
      <w:pPr>
        <w:pStyle w:val="ListParagraph"/>
        <w:numPr>
          <w:ilvl w:val="0"/>
          <w:numId w:val="1"/>
        </w:numPr>
        <w:spacing w:after="40"/>
      </w:pPr>
      <w:r>
        <w:t xml:space="preserve">Desk or workspace assigned at the brokerage office</w:t>
      </w:r>
    </w:p>
    <w:p>
      <w:pPr>
        <w:pStyle w:val="Heading2"/>
        <w:spacing w:after="100" w:before="240"/>
      </w:pPr>
      <w:r>
        <w:t xml:space="preserve">Roles &amp; Responsibilities</w:t>
      </w:r>
    </w:p>
    <w:p>
      <w:pPr>
        <w:spacing w:after="40" w:before="120"/>
      </w:pPr>
      <w:r>
        <w:rPr>
          <w:b/>
          <w:bCs/>
        </w:rPr>
        <w:t xml:space="preserve">Broker / Managing Broker</w:t>
      </w:r>
    </w:p>
    <w:p>
      <w:pPr>
        <w:pStyle w:val="ListParagraph"/>
        <w:numPr>
          <w:ilvl w:val="0"/>
          <w:numId w:val="1"/>
        </w:numPr>
        <w:spacing w:after="40"/>
      </w:pPr>
      <w:r>
        <w:t xml:space="preserve">Verify the agent's license status with the state real estate commission</w:t>
      </w:r>
    </w:p>
    <w:p>
      <w:pPr>
        <w:pStyle w:val="ListParagraph"/>
        <w:numPr>
          <w:ilvl w:val="0"/>
          <w:numId w:val="1"/>
        </w:numPr>
        <w:spacing w:after="40"/>
      </w:pPr>
      <w:r>
        <w:t xml:space="preserve">Transfer or associate the agent's license under the brokerage</w:t>
      </w:r>
    </w:p>
    <w:p>
      <w:pPr>
        <w:pStyle w:val="ListParagraph"/>
        <w:numPr>
          <w:ilvl w:val="0"/>
          <w:numId w:val="1"/>
        </w:numPr>
        <w:spacing w:after="40"/>
      </w:pPr>
      <w:r>
        <w:t xml:space="preserve">Conduct the initial training on brokerage policies and commission structure</w:t>
      </w:r>
    </w:p>
    <w:p>
      <w:pPr>
        <w:spacing w:after="40" w:before="120"/>
      </w:pPr>
      <w:r>
        <w:rPr>
          <w:b/>
          <w:bCs/>
        </w:rPr>
        <w:t xml:space="preserve">Office Manager</w:t>
      </w:r>
    </w:p>
    <w:p>
      <w:pPr>
        <w:pStyle w:val="ListParagraph"/>
        <w:numPr>
          <w:ilvl w:val="0"/>
          <w:numId w:val="1"/>
        </w:numPr>
        <w:spacing w:after="40"/>
      </w:pPr>
      <w:r>
        <w:t xml:space="preserve">Set up Dotloop, MLS, and email accounts before Day 1</w:t>
      </w:r>
    </w:p>
    <w:p>
      <w:pPr>
        <w:pStyle w:val="ListParagraph"/>
        <w:numPr>
          <w:ilvl w:val="0"/>
          <w:numId w:val="1"/>
        </w:numPr>
        <w:spacing w:after="40"/>
      </w:pPr>
      <w:r>
        <w:t xml:space="preserve">Order business cards, name rider for yard signs, and lockbox access</w:t>
      </w:r>
    </w:p>
    <w:p>
      <w:pPr>
        <w:pStyle w:val="ListParagraph"/>
        <w:numPr>
          <w:ilvl w:val="0"/>
          <w:numId w:val="1"/>
        </w:numPr>
        <w:spacing w:after="40"/>
      </w:pPr>
      <w:r>
        <w:t xml:space="preserve">Schedule the 30-day check-in with the broker</w:t>
      </w:r>
    </w:p>
    <w:p>
      <w:pPr>
        <w:spacing w:after="40" w:before="120"/>
      </w:pPr>
      <w:r>
        <w:rPr>
          <w:b/>
          <w:bCs/>
        </w:rPr>
        <w:t xml:space="preserve">Mentor Agent</w:t>
      </w:r>
    </w:p>
    <w:p>
      <w:pPr>
        <w:pStyle w:val="ListParagraph"/>
        <w:numPr>
          <w:ilvl w:val="0"/>
          <w:numId w:val="1"/>
        </w:numPr>
        <w:spacing w:after="40"/>
      </w:pPr>
      <w:r>
        <w:t xml:space="preserve">Shadow the new agent on their first 2 client consultations</w:t>
      </w:r>
    </w:p>
    <w:p>
      <w:pPr>
        <w:pStyle w:val="ListParagraph"/>
        <w:numPr>
          <w:ilvl w:val="0"/>
          <w:numId w:val="1"/>
        </w:numPr>
        <w:spacing w:after="40"/>
      </w:pPr>
      <w:r>
        <w:t xml:space="preserve">Review the new agent's first listing presentation or buyer consultation plan</w:t>
      </w:r>
    </w:p>
    <w:p>
      <w:pPr>
        <w:pStyle w:val="ListParagraph"/>
        <w:numPr>
          <w:ilvl w:val="0"/>
          <w:numId w:val="1"/>
        </w:numPr>
        <w:spacing w:after="40"/>
      </w:pPr>
      <w:r>
        <w:t xml:space="preserve">Answer questions about local market practices and customs</w:t>
      </w:r>
    </w:p>
    <w:p>
      <w:pPr>
        <w:pStyle w:val="Heading2"/>
        <w:spacing w:after="100" w:before="240"/>
      </w:pPr>
      <w:r>
        <w:t xml:space="preserve">Procedure</w:t>
      </w:r>
    </w:p>
    <w:p>
      <w:pPr>
        <w:pStyle w:val="Heading3"/>
        <w:spacing w:after="40" w:before="160"/>
      </w:pPr>
      <w:r>
        <w:t xml:space="preserve">Step 1: Verify and transfer the real estate license</w:t>
      </w:r>
    </w:p>
    <w:p>
      <w:pPr>
        <w:spacing w:after="100"/>
      </w:pPr>
      <w:r>
        <w:t xml:space="preserve">Before the agent's start date, verify their license status on the state real estate commission website. Confirm the license is active, check for any disciplinary actions, and initiate the license transfer to your brokerage. The transfer must be completed before the agent can conduct any real estate activity under your brokerage name.</w:t>
      </w:r>
    </w:p>
    <w:p>
      <w:pPr>
        <w:spacing w:after="100"/>
      </w:pPr>
      <w:r>
        <w:rPr>
          <w:i/>
          <w:iCs/>
          <w:color w:val="B45309"/>
        </w:rPr>
        <w:t xml:space="preserve">Warning: An agent conducting business before their license is transferred to your brokerage creates liability for unlicensed activity. Complete the transfer first — no exceptions.</w:t>
      </w:r>
    </w:p>
    <w:p>
      <w:pPr>
        <w:pStyle w:val="Heading3"/>
        <w:spacing w:after="40" w:before="160"/>
      </w:pPr>
      <w:r>
        <w:t xml:space="preserve">Step 2: Set up technology accounts</w:t>
      </w:r>
    </w:p>
    <w:p>
      <w:pPr>
        <w:spacing w:after="100"/>
      </w:pPr>
      <w:r>
        <w:t xml:space="preserve">The office manager provisions accounts in all required systems before Day 1: MLS access, Dotloop for transaction management, brokerage email, Zillow/Realtor.com profiles, and any CRM the brokerage uses. Set up lockbox access credentials with the local association.</w:t>
      </w:r>
    </w:p>
    <w:p>
      <w:pPr>
        <w:pStyle w:val="ListParagraph"/>
        <w:numPr>
          <w:ilvl w:val="1"/>
          <w:numId w:val="1"/>
        </w:numPr>
        <w:spacing w:after="40"/>
      </w:pPr>
      <w:r>
        <w:t xml:space="preserve">Submit MLS new member application to the local board</w:t>
      </w:r>
    </w:p>
    <w:p>
      <w:pPr>
        <w:pStyle w:val="ListParagraph"/>
        <w:numPr>
          <w:ilvl w:val="1"/>
          <w:numId w:val="1"/>
        </w:numPr>
        <w:spacing w:after="40"/>
      </w:pPr>
      <w:r>
        <w:t xml:space="preserve">Create Dotloop account under the brokerage's team</w:t>
      </w:r>
    </w:p>
    <w:p>
      <w:pPr>
        <w:pStyle w:val="ListParagraph"/>
        <w:numPr>
          <w:ilvl w:val="1"/>
          <w:numId w:val="1"/>
        </w:numPr>
        <w:spacing w:after="40"/>
      </w:pPr>
      <w:r>
        <w:t xml:space="preserve">Set up brokerage email and add to team distribution list</w:t>
      </w:r>
    </w:p>
    <w:p>
      <w:pPr>
        <w:pStyle w:val="ListParagraph"/>
        <w:numPr>
          <w:ilvl w:val="1"/>
          <w:numId w:val="1"/>
        </w:numPr>
        <w:spacing w:after="40"/>
      </w:pPr>
      <w:r>
        <w:t xml:space="preserve">Request lockbox/Supra key activation from the association</w:t>
      </w:r>
    </w:p>
    <w:p>
      <w:pPr>
        <w:pStyle w:val="ListParagraph"/>
        <w:numPr>
          <w:ilvl w:val="1"/>
          <w:numId w:val="1"/>
        </w:numPr>
        <w:spacing w:after="40"/>
      </w:pPr>
      <w:r>
        <w:t xml:space="preserve">Create or claim Zillow agent profile linked to the brokerage</w:t>
      </w:r>
    </w:p>
    <w:p>
      <w:pPr>
        <w:pStyle w:val="Heading3"/>
        <w:spacing w:after="40" w:before="160"/>
      </w:pPr>
      <w:r>
        <w:t xml:space="preserve">Step 3: Complete Fair Housing and compliance training</w:t>
      </w:r>
    </w:p>
    <w:p>
      <w:pPr>
        <w:spacing w:after="100"/>
      </w:pPr>
      <w:r>
        <w:t xml:space="preserve">Within the first 3 days, the new agent completes mandatory Fair Housing training covering protected classes, steering, blockbusting, and advertising compliance. Also cover state-specific agency disclosure requirements, wire fraud awareness, and the brokerage's document retention policy. Document completion with a signed acknowledgment.</w:t>
      </w:r>
    </w:p>
    <w:p>
      <w:pPr>
        <w:pStyle w:val="ListParagraph"/>
        <w:numPr>
          <w:ilvl w:val="1"/>
          <w:numId w:val="1"/>
        </w:numPr>
        <w:spacing w:after="40"/>
      </w:pPr>
      <w:r>
        <w:t xml:space="preserve">Fair Housing Act overview with real estate-specific scenarios (60 min)</w:t>
      </w:r>
    </w:p>
    <w:p>
      <w:pPr>
        <w:pStyle w:val="ListParagraph"/>
        <w:numPr>
          <w:ilvl w:val="1"/>
          <w:numId w:val="1"/>
        </w:numPr>
        <w:spacing w:after="40"/>
      </w:pPr>
      <w:r>
        <w:t xml:space="preserve">State agency disclosure requirements and when to present them (30 min)</w:t>
      </w:r>
    </w:p>
    <w:p>
      <w:pPr>
        <w:pStyle w:val="ListParagraph"/>
        <w:numPr>
          <w:ilvl w:val="1"/>
          <w:numId w:val="1"/>
        </w:numPr>
        <w:spacing w:after="40"/>
      </w:pPr>
      <w:r>
        <w:t xml:space="preserve">Wire fraud awareness — how to verify wiring instructions with clients (30 min)</w:t>
      </w:r>
    </w:p>
    <w:p>
      <w:pPr>
        <w:pStyle w:val="ListParagraph"/>
        <w:numPr>
          <w:ilvl w:val="1"/>
          <w:numId w:val="1"/>
        </w:numPr>
        <w:spacing w:after="40"/>
      </w:pPr>
      <w:r>
        <w:t xml:space="preserve">Document retention policy — what to keep, where, and for how long</w:t>
      </w:r>
    </w:p>
    <w:p>
      <w:pPr>
        <w:spacing w:after="100"/>
      </w:pPr>
      <w:r>
        <w:rPr>
          <w:i/>
          <w:iCs/>
          <w:color w:val="B45309"/>
        </w:rPr>
        <w:t xml:space="preserve">Warning: Fair Housing violations carry federal penalties up to $100,000+ per incident. This training is not optional, even for experienced agents transferring from another brokerage.</w:t>
      </w:r>
    </w:p>
    <w:p>
      <w:pPr>
        <w:pStyle w:val="Heading3"/>
        <w:spacing w:after="40" w:before="160"/>
      </w:pPr>
      <w:r>
        <w:t xml:space="preserve">Step 4: Brokerage policies and systems training</w:t>
      </w:r>
    </w:p>
    <w:p>
      <w:pPr>
        <w:spacing w:after="100"/>
      </w:pPr>
      <w:r>
        <w:t xml:space="preserve">The broker leads a 2-hour training covering: commission structure and splits, transaction submission process, marketing approval requirements, brokerage brand guidelines, and how to submit transactions through Dotloop. Walk through one complete transaction in Dotloop from listing agreement to closing.</w:t>
      </w:r>
    </w:p>
    <w:p>
      <w:pPr>
        <w:pStyle w:val="ListParagraph"/>
        <w:numPr>
          <w:ilvl w:val="1"/>
          <w:numId w:val="1"/>
        </w:numPr>
        <w:spacing w:after="40"/>
      </w:pPr>
      <w:r>
        <w:t xml:space="preserve">Commission structure, splits, and payment timeline</w:t>
      </w:r>
    </w:p>
    <w:p>
      <w:pPr>
        <w:pStyle w:val="ListParagraph"/>
        <w:numPr>
          <w:ilvl w:val="1"/>
          <w:numId w:val="1"/>
        </w:numPr>
        <w:spacing w:after="40"/>
      </w:pPr>
      <w:r>
        <w:t xml:space="preserve">Transaction submission requirements and deadlines</w:t>
      </w:r>
    </w:p>
    <w:p>
      <w:pPr>
        <w:pStyle w:val="ListParagraph"/>
        <w:numPr>
          <w:ilvl w:val="1"/>
          <w:numId w:val="1"/>
        </w:numPr>
        <w:spacing w:after="40"/>
      </w:pPr>
      <w:r>
        <w:t xml:space="preserve">Marketing material approval process and brand guidelines</w:t>
      </w:r>
    </w:p>
    <w:p>
      <w:pPr>
        <w:pStyle w:val="ListParagraph"/>
        <w:numPr>
          <w:ilvl w:val="1"/>
          <w:numId w:val="1"/>
        </w:numPr>
        <w:spacing w:after="40"/>
      </w:pPr>
      <w:r>
        <w:t xml:space="preserve">Walk through a sample Dotloop transaction end to end</w:t>
      </w:r>
    </w:p>
    <w:p>
      <w:pPr>
        <w:pStyle w:val="Heading3"/>
        <w:spacing w:after="40" w:before="160"/>
      </w:pPr>
      <w:r>
        <w:t xml:space="preserve">Step 5: Assign a mentor and begin shadowing</w:t>
      </w:r>
    </w:p>
    <w:p>
      <w:pPr>
        <w:spacing w:after="100"/>
      </w:pPr>
      <w:r>
        <w:t xml:space="preserve">Pair the new agent with an experienced agent who will mentor them for the first 30 days. The mentor includes the new agent in at least 2 client-facing activities during Week 1: a listing presentation, a buyer consultation, or a property showing. After each, the mentor debriefs what went well and what to adjust.</w:t>
      </w:r>
    </w:p>
    <w:p>
      <w:pPr>
        <w:spacing w:after="100"/>
      </w:pPr>
      <w:r>
        <w:rPr>
          <w:i/>
          <w:iCs/>
          <w:color w:val="1F7A4D"/>
        </w:rPr>
        <w:t xml:space="preserve">Tip: Choose a mentor who is patient and generous with their time, not just the highest producer. The best closers don't always make the best teachers.</w:t>
      </w:r>
    </w:p>
    <w:p>
      <w:pPr>
        <w:pStyle w:val="Heading3"/>
        <w:spacing w:after="40" w:before="160"/>
      </w:pPr>
      <w:r>
        <w:t xml:space="preserve">Step 6: 30-day review and independent launch</w:t>
      </w:r>
    </w:p>
    <w:p>
      <w:pPr>
        <w:spacing w:after="100"/>
      </w:pPr>
      <w:r>
        <w:t xml:space="preserve">At 30 days, the broker meets with the new agent to review: number of client consultations completed, listing or buyer agreements signed, Dotloop transaction accuracy, and any compliance issues flagged. Set 90-day production goals and determine if ongoing mentoring is needed.</w:t>
      </w:r>
    </w:p>
    <w:p>
      <w:pPr>
        <w:pStyle w:val="ListParagraph"/>
        <w:numPr>
          <w:ilvl w:val="1"/>
          <w:numId w:val="1"/>
        </w:numPr>
        <w:spacing w:after="40"/>
      </w:pPr>
      <w:r>
        <w:t xml:space="preserve">Review activity metrics: consultations, agreements, showings</w:t>
      </w:r>
    </w:p>
    <w:p>
      <w:pPr>
        <w:pStyle w:val="ListParagraph"/>
        <w:numPr>
          <w:ilvl w:val="1"/>
          <w:numId w:val="1"/>
        </w:numPr>
        <w:spacing w:after="40"/>
      </w:pPr>
      <w:r>
        <w:t xml:space="preserve">Audit the agent's first Dotloop transaction for completeness</w:t>
      </w:r>
    </w:p>
    <w:p>
      <w:pPr>
        <w:pStyle w:val="ListParagraph"/>
        <w:numPr>
          <w:ilvl w:val="1"/>
          <w:numId w:val="1"/>
        </w:numPr>
        <w:spacing w:after="40"/>
      </w:pPr>
      <w:r>
        <w:t xml:space="preserve">Set 90-day production goals collaboratively</w:t>
      </w:r>
    </w:p>
    <w:p>
      <w:pPr>
        <w:pStyle w:val="ListParagraph"/>
        <w:numPr>
          <w:ilvl w:val="1"/>
          <w:numId w:val="1"/>
        </w:numPr>
        <w:spacing w:after="40"/>
      </w:pPr>
      <w:r>
        <w:t xml:space="preserve">Determine if mentoring continues or the agent operates independently</w:t>
      </w:r>
    </w:p>
    <w:p>
      <w:pPr>
        <w:pStyle w:val="Heading2"/>
        <w:spacing w:after="100" w:before="240"/>
      </w:pPr>
      <w:r>
        <w:t xml:space="preserve">Completion Checklist</w:t>
      </w:r>
    </w:p>
    <w:p>
      <w:pPr>
        <w:spacing w:after="40"/>
      </w:pPr>
      <w:r>
        <w:t xml:space="preserve">☐  Real estate license verified and transferred to brokerage</w:t>
      </w:r>
    </w:p>
    <w:p>
      <w:pPr>
        <w:spacing w:after="40"/>
      </w:pPr>
      <w:r>
        <w:t xml:space="preserve">☐  MLS access activated</w:t>
      </w:r>
    </w:p>
    <w:p>
      <w:pPr>
        <w:spacing w:after="40"/>
      </w:pPr>
      <w:r>
        <w:t xml:space="preserve">☐  Dotloop account created under brokerage team</w:t>
      </w:r>
    </w:p>
    <w:p>
      <w:pPr>
        <w:spacing w:after="40"/>
      </w:pPr>
      <w:r>
        <w:t xml:space="preserve">☐  Brokerage email set up</w:t>
      </w:r>
    </w:p>
    <w:p>
      <w:pPr>
        <w:spacing w:after="40"/>
      </w:pPr>
      <w:r>
        <w:t xml:space="preserve">☐  Lockbox/Supra key activated</w:t>
      </w:r>
    </w:p>
    <w:p>
      <w:pPr>
        <w:spacing w:after="40"/>
      </w:pPr>
      <w:r>
        <w:t xml:space="preserve">☐  Zillow agent profile linked to brokerage</w:t>
      </w:r>
    </w:p>
    <w:p>
      <w:pPr>
        <w:spacing w:after="40"/>
      </w:pPr>
      <w:r>
        <w:t xml:space="preserve">☐  Fair Housing training completed and acknowledgment signed</w:t>
      </w:r>
    </w:p>
    <w:p>
      <w:pPr>
        <w:spacing w:after="40"/>
      </w:pPr>
      <w:r>
        <w:t xml:space="preserve">☐  Wire fraud awareness training completed</w:t>
      </w:r>
    </w:p>
    <w:p>
      <w:pPr>
        <w:spacing w:after="40"/>
      </w:pPr>
      <w:r>
        <w:t xml:space="preserve">☐  Brokerage policies and commission structure reviewed</w:t>
      </w:r>
    </w:p>
    <w:p>
      <w:pPr>
        <w:spacing w:after="40"/>
      </w:pPr>
      <w:r>
        <w:t xml:space="preserve">☐  Dotloop transaction walkthrough completed</w:t>
      </w:r>
    </w:p>
    <w:p>
      <w:pPr>
        <w:spacing w:after="40"/>
      </w:pPr>
      <w:r>
        <w:t xml:space="preserve">☐  Mentor assigned and first shadowing sessions scheduled</w:t>
      </w:r>
    </w:p>
    <w:p>
      <w:pPr>
        <w:spacing w:after="40"/>
      </w:pPr>
      <w:r>
        <w:t xml:space="preserve">☐  Business cards and name rider ordered</w:t>
      </w:r>
    </w:p>
    <w:p>
      <w:pPr>
        <w:spacing w:after="40"/>
      </w:pPr>
      <w:r>
        <w:t xml:space="preserve">☐  30-day review scheduled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License transfer completion</w:t>
            </w:r>
          </w:p>
        </w:tc>
        <w:tc>
          <w:tcPr>
            <w:tcMar>
              <w:top w:type="dxa" w:w="60"/>
              <w:left w:type="dxa" w:w="120"/>
              <w:bottom w:type="dxa" w:w="60"/>
              <w:right w:type="dxa" w:w="120"/>
            </w:tcMar>
          </w:tcPr>
          <w:p>
            <w:r>
              <w:rPr>
                <w:b w:val="false"/>
                <w:bCs w:val="false"/>
              </w:rPr>
              <w:t xml:space="preserve">Before Day 1</w:t>
            </w:r>
          </w:p>
        </w:tc>
      </w:tr>
      <w:tr>
        <w:trPr>
          <w:tblHeader w:val="false"/>
        </w:trPr>
        <w:tc>
          <w:tcPr>
            <w:tcMar>
              <w:top w:type="dxa" w:w="60"/>
              <w:left w:type="dxa" w:w="120"/>
              <w:bottom w:type="dxa" w:w="60"/>
              <w:right w:type="dxa" w:w="120"/>
            </w:tcMar>
          </w:tcPr>
          <w:p>
            <w:r>
              <w:rPr>
                <w:b w:val="false"/>
                <w:bCs w:val="false"/>
              </w:rPr>
              <w:t xml:space="preserve">Technology accounts provisioned</w:t>
            </w:r>
          </w:p>
        </w:tc>
        <w:tc>
          <w:tcPr>
            <w:tcMar>
              <w:top w:type="dxa" w:w="60"/>
              <w:left w:type="dxa" w:w="120"/>
              <w:bottom w:type="dxa" w:w="60"/>
              <w:right w:type="dxa" w:w="120"/>
            </w:tcMar>
          </w:tcPr>
          <w:p>
            <w:r>
              <w:rPr>
                <w:b w:val="false"/>
                <w:bCs w:val="false"/>
              </w:rPr>
              <w:t xml:space="preserve">All active before Day 1</w:t>
            </w:r>
          </w:p>
        </w:tc>
      </w:tr>
      <w:tr>
        <w:trPr>
          <w:tblHeader w:val="false"/>
        </w:trPr>
        <w:tc>
          <w:tcPr>
            <w:tcMar>
              <w:top w:type="dxa" w:w="60"/>
              <w:left w:type="dxa" w:w="120"/>
              <w:bottom w:type="dxa" w:w="60"/>
              <w:right w:type="dxa" w:w="120"/>
            </w:tcMar>
          </w:tcPr>
          <w:p>
            <w:r>
              <w:rPr>
                <w:b w:val="false"/>
                <w:bCs w:val="false"/>
              </w:rPr>
              <w:t xml:space="preserve">Fair Housing training completion</w:t>
            </w:r>
          </w:p>
        </w:tc>
        <w:tc>
          <w:tcPr>
            <w:tcMar>
              <w:top w:type="dxa" w:w="60"/>
              <w:left w:type="dxa" w:w="120"/>
              <w:bottom w:type="dxa" w:w="60"/>
              <w:right w:type="dxa" w:w="120"/>
            </w:tcMar>
          </w:tcPr>
          <w:p>
            <w:r>
              <w:rPr>
                <w:b w:val="false"/>
                <w:bCs w:val="false"/>
              </w:rPr>
              <w:t xml:space="preserve">Within 3 days of start</w:t>
            </w:r>
          </w:p>
        </w:tc>
      </w:tr>
      <w:tr>
        <w:trPr>
          <w:tblHeader w:val="false"/>
        </w:trPr>
        <w:tc>
          <w:tcPr>
            <w:tcMar>
              <w:top w:type="dxa" w:w="60"/>
              <w:left w:type="dxa" w:w="120"/>
              <w:bottom w:type="dxa" w:w="60"/>
              <w:right w:type="dxa" w:w="120"/>
            </w:tcMar>
          </w:tcPr>
          <w:p>
            <w:r>
              <w:rPr>
                <w:b w:val="false"/>
                <w:bCs w:val="false"/>
              </w:rPr>
              <w:t xml:space="preserve">First client-facing activity</w:t>
            </w:r>
          </w:p>
        </w:tc>
        <w:tc>
          <w:tcPr>
            <w:tcMar>
              <w:top w:type="dxa" w:w="60"/>
              <w:left w:type="dxa" w:w="120"/>
              <w:bottom w:type="dxa" w:w="60"/>
              <w:right w:type="dxa" w:w="120"/>
            </w:tcMar>
          </w:tcPr>
          <w:p>
            <w:r>
              <w:rPr>
                <w:b w:val="false"/>
                <w:bCs w:val="false"/>
              </w:rPr>
              <w:t xml:space="preserve">Within 7 days of start</w:t>
            </w:r>
          </w:p>
        </w:tc>
      </w:tr>
    </w:tbl>
    <w:p>
      <w:pPr>
        <w:pStyle w:val="Heading2"/>
        <w:spacing w:after="100" w:before="240"/>
      </w:pPr>
      <w:r>
        <w:t xml:space="preserve">Revision Schedule</w:t>
      </w:r>
    </w:p>
    <w:p>
      <w:pPr>
        <w:spacing w:after="100"/>
      </w:pPr>
      <w:r>
        <w:t xml:space="preserve">Annually, or after changes to state licensing requirements, MLS rules, or brokerage policies.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Onboarding SOP Template for Real Estate Teams</dc:title>
  <dc:creator>Glyde</dc:creator>
  <dc:description>Free employee onboarding SOP for real estate brokerages. Covers license verification, MLS setup, and agent training.</dc:description>
  <cp:lastModifiedBy>Un-named</cp:lastModifiedBy>
  <cp:revision>1</cp:revision>
  <dcterms:created xsi:type="dcterms:W3CDTF">2026-07-22T08:34:35.624Z</dcterms:created>
  <dcterms:modified xsi:type="dcterms:W3CDTF">2026-07-22T08:34:35.624Z</dcterms:modified>
</cp:coreProperties>
</file>

<file path=docProps/custom.xml><?xml version="1.0" encoding="utf-8"?>
<Properties xmlns="http://schemas.openxmlformats.org/officeDocument/2006/custom-properties" xmlns:vt="http://schemas.openxmlformats.org/officeDocument/2006/docPropsVTypes"/>
</file>