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Incident Response SOP Template for Education Teams</w:t>
      </w:r>
    </w:p>
    <w:p>
      <w:pPr>
        <w:spacing w:after="200"/>
      </w:pPr>
      <w:r>
        <w:rPr>
          <w:i/>
          <w:iCs/>
          <w:color w:val="6B7280"/>
        </w:rPr>
        <w:t xml:space="preserve">Free incident response SOP template for education IT teams. Step-by-step procedures for handling system outages and security incidents at schools and universities.</w:t>
      </w:r>
    </w:p>
    <w:p>
      <w:pPr>
        <w:pStyle w:val="Heading2"/>
        <w:spacing w:after="100" w:before="240"/>
      </w:pPr>
      <w:r>
        <w:t xml:space="preserve">Purpose</w:t>
      </w:r>
    </w:p>
    <w:p>
      <w:pPr>
        <w:spacing w:after="100"/>
      </w:pPr>
      <w:r>
        <w:t xml:space="preserve">Define a repeatable procedure for detecting, triaging, and resolving IT incidents across educational institutions — including network outages, student data breaches, LMS failures, and ransomware attacks. This SOP ensures FERPA-protected student records are safeguarded and that campus operations recover quickly during incidents that affect instruction, registration, or administrative systems.</w:t>
      </w:r>
    </w:p>
    <w:p>
      <w:pPr>
        <w:pStyle w:val="Heading2"/>
        <w:spacing w:after="100" w:before="240"/>
      </w:pPr>
      <w:r>
        <w:t xml:space="preserve">Scope</w:t>
      </w:r>
    </w:p>
    <w:p>
      <w:pPr>
        <w:spacing w:after="100"/>
      </w:pPr>
      <w:r>
        <w:t xml:space="preserve">Covers all IT incidents affecting campus systems including Ellucian Banner, Canvas, Blackboard, PowerSchool, campus networks, and student-facing portals. Applies to K-12 districts and higher education institutions. Does not cover physical security incidents (active threats, weather emergencies) which are managed by campus safety.</w:t>
      </w:r>
    </w:p>
    <w:p>
      <w:pPr>
        <w:pStyle w:val="Heading2"/>
        <w:spacing w:after="100" w:before="240"/>
      </w:pPr>
      <w:r>
        <w:t xml:space="preserve">Prerequisites</w:t>
      </w:r>
    </w:p>
    <w:p>
      <w:pPr>
        <w:pStyle w:val="ListParagraph"/>
        <w:numPr>
          <w:ilvl w:val="0"/>
          <w:numId w:val="1"/>
        </w:numPr>
        <w:spacing w:after="40"/>
      </w:pPr>
      <w:r>
        <w:t xml:space="preserve">Incident response team roster with current contact information and on-call rotation</w:t>
      </w:r>
    </w:p>
    <w:p>
      <w:pPr>
        <w:pStyle w:val="ListParagraph"/>
        <w:numPr>
          <w:ilvl w:val="0"/>
          <w:numId w:val="1"/>
        </w:numPr>
        <w:spacing w:after="40"/>
      </w:pPr>
      <w:r>
        <w:t xml:space="preserve">Documented escalation matrix with severity levels and response time targets</w:t>
      </w:r>
    </w:p>
    <w:p>
      <w:pPr>
        <w:pStyle w:val="ListParagraph"/>
        <w:numPr>
          <w:ilvl w:val="0"/>
          <w:numId w:val="1"/>
        </w:numPr>
        <w:spacing w:after="40"/>
      </w:pPr>
      <w:r>
        <w:t xml:space="preserve">Access to network monitoring tools and system dashboards</w:t>
      </w:r>
    </w:p>
    <w:p>
      <w:pPr>
        <w:pStyle w:val="ListParagraph"/>
        <w:numPr>
          <w:ilvl w:val="0"/>
          <w:numId w:val="1"/>
        </w:numPr>
        <w:spacing w:after="40"/>
      </w:pPr>
      <w:r>
        <w:t xml:space="preserve">FERPA breach notification template approved by legal counsel</w:t>
      </w:r>
    </w:p>
    <w:p>
      <w:pPr>
        <w:pStyle w:val="ListParagraph"/>
        <w:numPr>
          <w:ilvl w:val="0"/>
          <w:numId w:val="1"/>
        </w:numPr>
        <w:spacing w:after="40"/>
      </w:pPr>
      <w:r>
        <w:t xml:space="preserve">Backup and recovery procedures tested within the last 90 days</w:t>
      </w:r>
    </w:p>
    <w:p>
      <w:pPr>
        <w:pStyle w:val="ListParagraph"/>
        <w:numPr>
          <w:ilvl w:val="0"/>
          <w:numId w:val="1"/>
        </w:numPr>
        <w:spacing w:after="40"/>
      </w:pPr>
      <w:r>
        <w:t xml:space="preserve">Communication templates for faculty, students, and parents pre-approved</w:t>
      </w:r>
    </w:p>
    <w:p>
      <w:pPr>
        <w:pStyle w:val="Heading2"/>
        <w:spacing w:after="100" w:before="240"/>
      </w:pPr>
      <w:r>
        <w:t xml:space="preserve">Roles &amp; Responsibilities</w:t>
      </w:r>
    </w:p>
    <w:p>
      <w:pPr>
        <w:spacing w:after="40" w:before="120"/>
      </w:pPr>
      <w:r>
        <w:rPr>
          <w:b/>
          <w:bCs/>
        </w:rPr>
        <w:t xml:space="preserve">IT Director</w:t>
      </w:r>
    </w:p>
    <w:p>
      <w:pPr>
        <w:pStyle w:val="ListParagraph"/>
        <w:numPr>
          <w:ilvl w:val="0"/>
          <w:numId w:val="1"/>
        </w:numPr>
        <w:spacing w:after="40"/>
      </w:pPr>
      <w:r>
        <w:t xml:space="preserve">Declare incident severity level and activate the response team</w:t>
      </w:r>
    </w:p>
    <w:p>
      <w:pPr>
        <w:pStyle w:val="ListParagraph"/>
        <w:numPr>
          <w:ilvl w:val="0"/>
          <w:numId w:val="1"/>
        </w:numPr>
        <w:spacing w:after="40"/>
      </w:pPr>
      <w:r>
        <w:t xml:space="preserve">Authorize emergency changes to production systems during incidents</w:t>
      </w:r>
    </w:p>
    <w:p>
      <w:pPr>
        <w:pStyle w:val="ListParagraph"/>
        <w:numPr>
          <w:ilvl w:val="0"/>
          <w:numId w:val="1"/>
        </w:numPr>
        <w:spacing w:after="40"/>
      </w:pPr>
      <w:r>
        <w:t xml:space="preserve">Communicate status updates to the provost, superintendent, or campus leadership</w:t>
      </w:r>
    </w:p>
    <w:p>
      <w:pPr>
        <w:spacing w:after="40" w:before="120"/>
      </w:pPr>
      <w:r>
        <w:rPr>
          <w:b/>
          <w:bCs/>
        </w:rPr>
        <w:t xml:space="preserve">Systems Administrator</w:t>
      </w:r>
    </w:p>
    <w:p>
      <w:pPr>
        <w:pStyle w:val="ListParagraph"/>
        <w:numPr>
          <w:ilvl w:val="0"/>
          <w:numId w:val="1"/>
        </w:numPr>
        <w:spacing w:after="40"/>
      </w:pPr>
      <w:r>
        <w:t xml:space="preserve">Perform initial triage and determine affected systems</w:t>
      </w:r>
    </w:p>
    <w:p>
      <w:pPr>
        <w:pStyle w:val="ListParagraph"/>
        <w:numPr>
          <w:ilvl w:val="0"/>
          <w:numId w:val="1"/>
        </w:numPr>
        <w:spacing w:after="40"/>
      </w:pPr>
      <w:r>
        <w:t xml:space="preserve">Execute containment actions to prevent further data exposure or system degradation</w:t>
      </w:r>
    </w:p>
    <w:p>
      <w:pPr>
        <w:pStyle w:val="ListParagraph"/>
        <w:numPr>
          <w:ilvl w:val="0"/>
          <w:numId w:val="1"/>
        </w:numPr>
        <w:spacing w:after="40"/>
      </w:pPr>
      <w:r>
        <w:t xml:space="preserve">Restore services from backups when needed</w:t>
      </w:r>
    </w:p>
    <w:p>
      <w:pPr>
        <w:spacing w:after="40" w:before="120"/>
      </w:pPr>
      <w:r>
        <w:rPr>
          <w:b/>
          <w:bCs/>
        </w:rPr>
        <w:t xml:space="preserve">Information Security Officer</w:t>
      </w:r>
    </w:p>
    <w:p>
      <w:pPr>
        <w:pStyle w:val="ListParagraph"/>
        <w:numPr>
          <w:ilvl w:val="0"/>
          <w:numId w:val="1"/>
        </w:numPr>
        <w:spacing w:after="40"/>
      </w:pPr>
      <w:r>
        <w:t xml:space="preserve">Assess whether student data protected by FERPA has been exposed</w:t>
      </w:r>
    </w:p>
    <w:p>
      <w:pPr>
        <w:pStyle w:val="ListParagraph"/>
        <w:numPr>
          <w:ilvl w:val="0"/>
          <w:numId w:val="1"/>
        </w:numPr>
        <w:spacing w:after="40"/>
      </w:pPr>
      <w:r>
        <w:t xml:space="preserve">Coordinate with legal counsel on breach notification requirements</w:t>
      </w:r>
    </w:p>
    <w:p>
      <w:pPr>
        <w:pStyle w:val="ListParagraph"/>
        <w:numPr>
          <w:ilvl w:val="0"/>
          <w:numId w:val="1"/>
        </w:numPr>
        <w:spacing w:after="40"/>
      </w:pPr>
      <w:r>
        <w:t xml:space="preserve">Preserve forensic evidence and document the incident timeline</w:t>
      </w:r>
    </w:p>
    <w:p>
      <w:pPr>
        <w:spacing w:after="40" w:before="120"/>
      </w:pPr>
      <w:r>
        <w:rPr>
          <w:b/>
          <w:bCs/>
        </w:rPr>
        <w:t xml:space="preserve">Communications Coordinator</w:t>
      </w:r>
    </w:p>
    <w:p>
      <w:pPr>
        <w:pStyle w:val="ListParagraph"/>
        <w:numPr>
          <w:ilvl w:val="0"/>
          <w:numId w:val="1"/>
        </w:numPr>
        <w:spacing w:after="40"/>
      </w:pPr>
      <w:r>
        <w:t xml:space="preserve">Send status updates to affected faculty, staff, students, and parents</w:t>
      </w:r>
    </w:p>
    <w:p>
      <w:pPr>
        <w:pStyle w:val="ListParagraph"/>
        <w:numPr>
          <w:ilvl w:val="0"/>
          <w:numId w:val="1"/>
        </w:numPr>
        <w:spacing w:after="40"/>
      </w:pPr>
      <w:r>
        <w:t xml:space="preserve">Post service status updates to the campus portal and status page</w:t>
      </w:r>
    </w:p>
    <w:p>
      <w:pPr>
        <w:pStyle w:val="Heading2"/>
        <w:spacing w:after="100" w:before="240"/>
      </w:pPr>
      <w:r>
        <w:t xml:space="preserve">Procedure</w:t>
      </w:r>
    </w:p>
    <w:p>
      <w:pPr>
        <w:pStyle w:val="Heading3"/>
        <w:spacing w:after="40" w:before="160"/>
      </w:pPr>
      <w:r>
        <w:t xml:space="preserve">Step 1: Detect and log the incident</w:t>
      </w:r>
    </w:p>
    <w:p>
      <w:pPr>
        <w:spacing w:after="100"/>
      </w:pPr>
      <w:r>
        <w:t xml:space="preserve">Incidents are detected through monitoring alerts, helpdesk tickets, or direct reports from faculty and staff. The first responder logs the incident in the IT ticketing system with a timestamp, affected systems, reporter name, and initial symptoms. Every incident gets a ticket — no exceptions, even for 'quick fixes.'</w:t>
      </w:r>
    </w:p>
    <w:p>
      <w:pPr>
        <w:pStyle w:val="ListParagraph"/>
        <w:numPr>
          <w:ilvl w:val="1"/>
          <w:numId w:val="1"/>
        </w:numPr>
        <w:spacing w:after="40"/>
      </w:pPr>
      <w:r>
        <w:t xml:space="preserve">Check monitoring dashboards for system alerts (network, Banner, Canvas, email)</w:t>
      </w:r>
    </w:p>
    <w:p>
      <w:pPr>
        <w:pStyle w:val="ListParagraph"/>
        <w:numPr>
          <w:ilvl w:val="1"/>
          <w:numId w:val="1"/>
        </w:numPr>
        <w:spacing w:after="40"/>
      </w:pPr>
      <w:r>
        <w:t xml:space="preserve">Log the incident in the ticketing system with timestamp and initial details</w:t>
      </w:r>
    </w:p>
    <w:p>
      <w:pPr>
        <w:pStyle w:val="ListParagraph"/>
        <w:numPr>
          <w:ilvl w:val="1"/>
          <w:numId w:val="1"/>
        </w:numPr>
        <w:spacing w:after="40"/>
      </w:pPr>
      <w:r>
        <w:t xml:space="preserve">Record which systems and user groups are affected</w:t>
      </w:r>
    </w:p>
    <w:p>
      <w:pPr>
        <w:pStyle w:val="ListParagraph"/>
        <w:numPr>
          <w:ilvl w:val="1"/>
          <w:numId w:val="1"/>
        </w:numPr>
        <w:spacing w:after="40"/>
      </w:pPr>
      <w:r>
        <w:t xml:space="preserve">Note the reporter's name and how the incident was detected</w:t>
      </w:r>
    </w:p>
    <w:p>
      <w:pPr>
        <w:spacing w:after="100"/>
      </w:pPr>
      <w:r>
        <w:rPr>
          <w:i/>
          <w:iCs/>
          <w:color w:val="1F7A4D"/>
        </w:rPr>
        <w:t xml:space="preserve">Tip: Set up automated alerts in your monitoring tool for Banner, Canvas, and campus network availability. Most education IT teams discover outages from angry faculty emails — automated detection cuts response time significantly.</w:t>
      </w:r>
    </w:p>
    <w:p>
      <w:pPr>
        <w:pStyle w:val="Heading3"/>
        <w:spacing w:after="40" w:before="160"/>
      </w:pPr>
      <w:r>
        <w:t xml:space="preserve">Step 2: Classify incident severity</w:t>
      </w:r>
    </w:p>
    <w:p>
      <w:pPr>
        <w:spacing w:after="100"/>
      </w:pPr>
      <w:r>
        <w:t xml:space="preserve">Assign a severity level based on the impact to campus operations and student data. Severity 1: student data breach or total system outage affecting instruction. Severity 2: partial outage affecting a department or single campus. Severity 3: degraded performance or minor issue affecting a small group. Severity determines response time and escalation path.</w:t>
      </w:r>
    </w:p>
    <w:p>
      <w:pPr>
        <w:pStyle w:val="ListParagraph"/>
        <w:numPr>
          <w:ilvl w:val="1"/>
          <w:numId w:val="1"/>
        </w:numPr>
        <w:spacing w:after="40"/>
      </w:pPr>
      <w:r>
        <w:t xml:space="preserve">Determine if student data protected by FERPA is potentially exposed</w:t>
      </w:r>
    </w:p>
    <w:p>
      <w:pPr>
        <w:pStyle w:val="ListParagraph"/>
        <w:numPr>
          <w:ilvl w:val="1"/>
          <w:numId w:val="1"/>
        </w:numPr>
        <w:spacing w:after="40"/>
      </w:pPr>
      <w:r>
        <w:t xml:space="preserve">Assess the number of affected users (students, faculty, staff)</w:t>
      </w:r>
    </w:p>
    <w:p>
      <w:pPr>
        <w:pStyle w:val="ListParagraph"/>
        <w:numPr>
          <w:ilvl w:val="1"/>
          <w:numId w:val="1"/>
        </w:numPr>
        <w:spacing w:after="40"/>
      </w:pPr>
      <w:r>
        <w:t xml:space="preserve">Identify whether the incident blocks instruction, registration, or grading</w:t>
      </w:r>
    </w:p>
    <w:p>
      <w:pPr>
        <w:pStyle w:val="ListParagraph"/>
        <w:numPr>
          <w:ilvl w:val="1"/>
          <w:numId w:val="1"/>
        </w:numPr>
        <w:spacing w:after="40"/>
      </w:pPr>
      <w:r>
        <w:t xml:space="preserve">Assign severity level and document the classification rationale</w:t>
      </w:r>
    </w:p>
    <w:p>
      <w:pPr>
        <w:spacing w:after="100"/>
      </w:pPr>
      <w:r>
        <w:rPr>
          <w:i/>
          <w:iCs/>
          <w:color w:val="B45309"/>
        </w:rPr>
        <w:t xml:space="preserve">Warning: Any incident involving potential exposure of FERPA-protected student records is automatically Severity 1, regardless of the number of affected records. FERPA does not have a minimum threshold for breach notification.</w:t>
      </w:r>
    </w:p>
    <w:p>
      <w:pPr>
        <w:pStyle w:val="Heading3"/>
        <w:spacing w:after="40" w:before="160"/>
      </w:pPr>
      <w:r>
        <w:t xml:space="preserve">Step 3: Activate the response team</w:t>
      </w:r>
    </w:p>
    <w:p>
      <w:pPr>
        <w:spacing w:after="100"/>
      </w:pPr>
      <w:r>
        <w:t xml:space="preserve">The IT Director activates the incident response team based on severity. For Severity 1, all team members are paged immediately and a war room (virtual or physical) is established within 15 minutes. For Severity 2-3, the on-call systems administrator begins triage and escalates if needed.</w:t>
      </w:r>
    </w:p>
    <w:p>
      <w:pPr>
        <w:pStyle w:val="ListParagraph"/>
        <w:numPr>
          <w:ilvl w:val="1"/>
          <w:numId w:val="1"/>
        </w:numPr>
        <w:spacing w:after="40"/>
      </w:pPr>
      <w:r>
        <w:t xml:space="preserve">Page the appropriate team members based on the on-call rotation</w:t>
      </w:r>
    </w:p>
    <w:p>
      <w:pPr>
        <w:pStyle w:val="ListParagraph"/>
        <w:numPr>
          <w:ilvl w:val="1"/>
          <w:numId w:val="1"/>
        </w:numPr>
        <w:spacing w:after="40"/>
      </w:pPr>
      <w:r>
        <w:t xml:space="preserve">Open a dedicated communication channel (Teams, Slack, or phone bridge)</w:t>
      </w:r>
    </w:p>
    <w:p>
      <w:pPr>
        <w:pStyle w:val="ListParagraph"/>
        <w:numPr>
          <w:ilvl w:val="1"/>
          <w:numId w:val="1"/>
        </w:numPr>
        <w:spacing w:after="40"/>
      </w:pPr>
      <w:r>
        <w:t xml:space="preserve">Assign an incident commander to coordinate the response</w:t>
      </w:r>
    </w:p>
    <w:p>
      <w:pPr>
        <w:pStyle w:val="ListParagraph"/>
        <w:numPr>
          <w:ilvl w:val="1"/>
          <w:numId w:val="1"/>
        </w:numPr>
        <w:spacing w:after="40"/>
      </w:pPr>
      <w:r>
        <w:t xml:space="preserve">Set the initial status update cadence: every 30 minutes for Sev 1, every 2 hours for Sev 2</w:t>
      </w:r>
    </w:p>
    <w:p>
      <w:pPr>
        <w:pStyle w:val="Heading3"/>
        <w:spacing w:after="40" w:before="160"/>
      </w:pPr>
      <w:r>
        <w:t xml:space="preserve">Step 4: Contain the incident</w:t>
      </w:r>
    </w:p>
    <w:p>
      <w:pPr>
        <w:spacing w:after="100"/>
      </w:pPr>
      <w:r>
        <w:t xml:space="preserve">Take immediate action to stop the incident from spreading. For data breaches, isolate the affected system and revoke compromised credentials. For outages, identify the failing component and route traffic to backup systems. For ransomware, disconnect affected machines from the network immediately — do not power them off, as this can destroy forensic evidence.</w:t>
      </w:r>
    </w:p>
    <w:p>
      <w:pPr>
        <w:pStyle w:val="ListParagraph"/>
        <w:numPr>
          <w:ilvl w:val="1"/>
          <w:numId w:val="1"/>
        </w:numPr>
        <w:spacing w:after="40"/>
      </w:pPr>
      <w:r>
        <w:t xml:space="preserve">Isolate affected systems from the campus network if data is at risk</w:t>
      </w:r>
    </w:p>
    <w:p>
      <w:pPr>
        <w:pStyle w:val="ListParagraph"/>
        <w:numPr>
          <w:ilvl w:val="1"/>
          <w:numId w:val="1"/>
        </w:numPr>
        <w:spacing w:after="40"/>
      </w:pPr>
      <w:r>
        <w:t xml:space="preserve">Revoke compromised credentials and force password resets if needed</w:t>
      </w:r>
    </w:p>
    <w:p>
      <w:pPr>
        <w:pStyle w:val="ListParagraph"/>
        <w:numPr>
          <w:ilvl w:val="1"/>
          <w:numId w:val="1"/>
        </w:numPr>
        <w:spacing w:after="40"/>
      </w:pPr>
      <w:r>
        <w:t xml:space="preserve">Redirect users to backup systems or manual workarounds</w:t>
      </w:r>
    </w:p>
    <w:p>
      <w:pPr>
        <w:pStyle w:val="ListParagraph"/>
        <w:numPr>
          <w:ilvl w:val="1"/>
          <w:numId w:val="1"/>
        </w:numPr>
        <w:spacing w:after="40"/>
      </w:pPr>
      <w:r>
        <w:t xml:space="preserve">Preserve system logs and forensic evidence before making changes</w:t>
      </w:r>
    </w:p>
    <w:p>
      <w:pPr>
        <w:spacing w:after="100"/>
      </w:pPr>
      <w:r>
        <w:rPr>
          <w:i/>
          <w:iCs/>
          <w:color w:val="B45309"/>
        </w:rPr>
        <w:t xml:space="preserve">Warning: During a ransomware attack, do not pay the ransom, power off affected machines, or attempt to decrypt files without consulting the information security officer. Disconnect from the network but leave systems running to preserve memory forensics.</w:t>
      </w:r>
    </w:p>
    <w:p>
      <w:pPr>
        <w:pStyle w:val="Heading3"/>
        <w:spacing w:after="40" w:before="160"/>
      </w:pPr>
      <w:r>
        <w:t xml:space="preserve">Step 5: Assess FERPA and compliance impact</w:t>
      </w:r>
    </w:p>
    <w:p>
      <w:pPr>
        <w:spacing w:after="100"/>
      </w:pPr>
      <w:r>
        <w:t xml:space="preserve">The information security officer determines whether FERPA-protected student education records were accessed, disclosed, or compromised. Review system access logs in Banner or PowerSchool to identify which records were potentially exposed. If a breach is confirmed, begin the FERPA breach notification process with legal counsel.</w:t>
      </w:r>
    </w:p>
    <w:p>
      <w:pPr>
        <w:pStyle w:val="ListParagraph"/>
        <w:numPr>
          <w:ilvl w:val="1"/>
          <w:numId w:val="1"/>
        </w:numPr>
        <w:spacing w:after="40"/>
      </w:pPr>
      <w:r>
        <w:t xml:space="preserve">Review access logs in Ellucian Banner, PowerSchool, or the affected student system</w:t>
      </w:r>
    </w:p>
    <w:p>
      <w:pPr>
        <w:pStyle w:val="ListParagraph"/>
        <w:numPr>
          <w:ilvl w:val="1"/>
          <w:numId w:val="1"/>
        </w:numPr>
        <w:spacing w:after="40"/>
      </w:pPr>
      <w:r>
        <w:t xml:space="preserve">Identify the specific student records potentially exposed</w:t>
      </w:r>
    </w:p>
    <w:p>
      <w:pPr>
        <w:pStyle w:val="ListParagraph"/>
        <w:numPr>
          <w:ilvl w:val="1"/>
          <w:numId w:val="1"/>
        </w:numPr>
        <w:spacing w:after="40"/>
      </w:pPr>
      <w:r>
        <w:t xml:space="preserve">Determine whether the exposure qualifies as a FERPA breach requiring notification</w:t>
      </w:r>
    </w:p>
    <w:p>
      <w:pPr>
        <w:pStyle w:val="ListParagraph"/>
        <w:numPr>
          <w:ilvl w:val="1"/>
          <w:numId w:val="1"/>
        </w:numPr>
        <w:spacing w:after="40"/>
      </w:pPr>
      <w:r>
        <w:t xml:space="preserve">Notify legal counsel and begin drafting the breach notification if required</w:t>
      </w:r>
    </w:p>
    <w:p>
      <w:pPr>
        <w:spacing w:after="100"/>
      </w:pPr>
      <w:r>
        <w:rPr>
          <w:i/>
          <w:iCs/>
          <w:color w:val="1F7A4D"/>
        </w:rPr>
        <w:t xml:space="preserve">Tip: FERPA requires that institutions notify the Department of Education and affected students/parents of unauthorized disclosures. Work with legal counsel to determine notification requirements before sending anything.</w:t>
      </w:r>
    </w:p>
    <w:p>
      <w:pPr>
        <w:pStyle w:val="Heading3"/>
        <w:spacing w:after="40" w:before="160"/>
      </w:pPr>
      <w:r>
        <w:t xml:space="preserve">Step 6: Communicate status to stakeholders</w:t>
      </w:r>
    </w:p>
    <w:p>
      <w:pPr>
        <w:spacing w:after="100"/>
      </w:pPr>
      <w:r>
        <w:t xml:space="preserve">Send timely updates to affected users and campus leadership. Faculty need to know if Canvas or Blackboard is down during class time. Students need to know if registration or financial aid systems are affected. Parents need notification if student data may have been exposed. Use the pre-approved communication templates.</w:t>
      </w:r>
    </w:p>
    <w:p>
      <w:pPr>
        <w:pStyle w:val="ListParagraph"/>
        <w:numPr>
          <w:ilvl w:val="1"/>
          <w:numId w:val="1"/>
        </w:numPr>
        <w:spacing w:after="40"/>
      </w:pPr>
      <w:r>
        <w:t xml:space="preserve">Send initial notification to affected user groups using approved templates</w:t>
      </w:r>
    </w:p>
    <w:p>
      <w:pPr>
        <w:pStyle w:val="ListParagraph"/>
        <w:numPr>
          <w:ilvl w:val="1"/>
          <w:numId w:val="1"/>
        </w:numPr>
        <w:spacing w:after="40"/>
      </w:pPr>
      <w:r>
        <w:t xml:space="preserve">Post status updates to the campus IT status page</w:t>
      </w:r>
    </w:p>
    <w:p>
      <w:pPr>
        <w:pStyle w:val="ListParagraph"/>
        <w:numPr>
          <w:ilvl w:val="1"/>
          <w:numId w:val="1"/>
        </w:numPr>
        <w:spacing w:after="40"/>
      </w:pPr>
      <w:r>
        <w:t xml:space="preserve">Brief campus leadership (provost, superintendent, dean) on the situation</w:t>
      </w:r>
    </w:p>
    <w:p>
      <w:pPr>
        <w:pStyle w:val="ListParagraph"/>
        <w:numPr>
          <w:ilvl w:val="1"/>
          <w:numId w:val="1"/>
        </w:numPr>
        <w:spacing w:after="40"/>
      </w:pPr>
      <w:r>
        <w:t xml:space="preserve">Set expectations for the next update with a specific time</w:t>
      </w:r>
    </w:p>
    <w:p>
      <w:pPr>
        <w:pStyle w:val="Heading3"/>
        <w:spacing w:after="40" w:before="160"/>
      </w:pPr>
      <w:r>
        <w:t xml:space="preserve">Step 7: Resolve the incident and restore services</w:t>
      </w:r>
    </w:p>
    <w:p>
      <w:pPr>
        <w:spacing w:after="100"/>
      </w:pPr>
      <w:r>
        <w:t xml:space="preserve">Execute the technical fix to resolve the root cause. This may involve restoring from backup, applying patches, reconfiguring network equipment, or rebuilding compromised systems. Verify that all affected services are functioning normally before declaring the incident resolved. Test Banner, Canvas, email, and campus network connectivity.</w:t>
      </w:r>
    </w:p>
    <w:p>
      <w:pPr>
        <w:pStyle w:val="ListParagraph"/>
        <w:numPr>
          <w:ilvl w:val="1"/>
          <w:numId w:val="1"/>
        </w:numPr>
        <w:spacing w:after="40"/>
      </w:pPr>
      <w:r>
        <w:t xml:space="preserve">Execute the technical resolution (patch, restore, reconfigure)</w:t>
      </w:r>
    </w:p>
    <w:p>
      <w:pPr>
        <w:pStyle w:val="ListParagraph"/>
        <w:numPr>
          <w:ilvl w:val="1"/>
          <w:numId w:val="1"/>
        </w:numPr>
        <w:spacing w:after="40"/>
      </w:pPr>
      <w:r>
        <w:t xml:space="preserve">Verify each affected system is operational: test Banner, Canvas, email, and network</w:t>
      </w:r>
    </w:p>
    <w:p>
      <w:pPr>
        <w:pStyle w:val="ListParagraph"/>
        <w:numPr>
          <w:ilvl w:val="1"/>
          <w:numId w:val="1"/>
        </w:numPr>
        <w:spacing w:after="40"/>
      </w:pPr>
      <w:r>
        <w:t xml:space="preserve">Confirm with the help desk that user-reported issues are resolved</w:t>
      </w:r>
    </w:p>
    <w:p>
      <w:pPr>
        <w:pStyle w:val="ListParagraph"/>
        <w:numPr>
          <w:ilvl w:val="1"/>
          <w:numId w:val="1"/>
        </w:numPr>
        <w:spacing w:after="40"/>
      </w:pPr>
      <w:r>
        <w:t xml:space="preserve">Remove any temporary workarounds or traffic redirects</w:t>
      </w:r>
    </w:p>
    <w:p>
      <w:pPr>
        <w:pStyle w:val="Heading3"/>
        <w:spacing w:after="40" w:before="160"/>
      </w:pPr>
      <w:r>
        <w:t xml:space="preserve">Step 8: Send resolution notification</w:t>
      </w:r>
    </w:p>
    <w:p>
      <w:pPr>
        <w:spacing w:after="100"/>
      </w:pPr>
      <w:r>
        <w:t xml:space="preserve">Notify all stakeholders that the incident is resolved. Include a brief summary of what happened, what was affected, and what users need to do (if anything — like resetting passwords). For FERPA-related incidents, follow the breach notification timeline established with legal counsel.</w:t>
      </w:r>
    </w:p>
    <w:p>
      <w:pPr>
        <w:pStyle w:val="ListParagraph"/>
        <w:numPr>
          <w:ilvl w:val="1"/>
          <w:numId w:val="1"/>
        </w:numPr>
        <w:spacing w:after="40"/>
      </w:pPr>
      <w:r>
        <w:t xml:space="preserve">Send resolution email to all affected user groups</w:t>
      </w:r>
    </w:p>
    <w:p>
      <w:pPr>
        <w:pStyle w:val="ListParagraph"/>
        <w:numPr>
          <w:ilvl w:val="1"/>
          <w:numId w:val="1"/>
        </w:numPr>
        <w:spacing w:after="40"/>
      </w:pPr>
      <w:r>
        <w:t xml:space="preserve">Update the campus IT status page to 'Resolved'</w:t>
      </w:r>
    </w:p>
    <w:p>
      <w:pPr>
        <w:pStyle w:val="ListParagraph"/>
        <w:numPr>
          <w:ilvl w:val="1"/>
          <w:numId w:val="1"/>
        </w:numPr>
        <w:spacing w:after="40"/>
      </w:pPr>
      <w:r>
        <w:t xml:space="preserve">Brief campus leadership with a summary</w:t>
      </w:r>
    </w:p>
    <w:p>
      <w:pPr>
        <w:pStyle w:val="ListParagraph"/>
        <w:numPr>
          <w:ilvl w:val="1"/>
          <w:numId w:val="1"/>
        </w:numPr>
        <w:spacing w:after="40"/>
      </w:pPr>
      <w:r>
        <w:t xml:space="preserve">If FERPA data was involved, send required breach notifications per legal counsel's timeline</w:t>
      </w:r>
    </w:p>
    <w:p>
      <w:pPr>
        <w:pStyle w:val="Heading3"/>
        <w:spacing w:after="40" w:before="160"/>
      </w:pPr>
      <w:r>
        <w:t xml:space="preserve">Step 9: Conduct post-incident review</w:t>
      </w:r>
    </w:p>
    <w:p>
      <w:pPr>
        <w:spacing w:after="100"/>
      </w:pPr>
      <w:r>
        <w:t xml:space="preserve">Within 5 business days of resolution, the incident response team holds a post-incident review. Document the timeline, root cause, what worked, what failed, and specific action items to prevent recurrence. This review is not about blame — it is about fixing the process. Store the report in the IT shared drive for accreditation documentation.</w:t>
      </w:r>
    </w:p>
    <w:p>
      <w:pPr>
        <w:pStyle w:val="ListParagraph"/>
        <w:numPr>
          <w:ilvl w:val="1"/>
          <w:numId w:val="1"/>
        </w:numPr>
        <w:spacing w:after="40"/>
      </w:pPr>
      <w:r>
        <w:t xml:space="preserve">Gather the incident timeline with timestamps for each action taken</w:t>
      </w:r>
    </w:p>
    <w:p>
      <w:pPr>
        <w:pStyle w:val="ListParagraph"/>
        <w:numPr>
          <w:ilvl w:val="1"/>
          <w:numId w:val="1"/>
        </w:numPr>
        <w:spacing w:after="40"/>
      </w:pPr>
      <w:r>
        <w:t xml:space="preserve">Identify the root cause and contributing factors</w:t>
      </w:r>
    </w:p>
    <w:p>
      <w:pPr>
        <w:pStyle w:val="ListParagraph"/>
        <w:numPr>
          <w:ilvl w:val="1"/>
          <w:numId w:val="1"/>
        </w:numPr>
        <w:spacing w:after="40"/>
      </w:pPr>
      <w:r>
        <w:t xml:space="preserve">Document what went well and what needs improvement</w:t>
      </w:r>
    </w:p>
    <w:p>
      <w:pPr>
        <w:pStyle w:val="ListParagraph"/>
        <w:numPr>
          <w:ilvl w:val="1"/>
          <w:numId w:val="1"/>
        </w:numPr>
        <w:spacing w:after="40"/>
      </w:pPr>
      <w:r>
        <w:t xml:space="preserve">Assign action items with owners and deadlines</w:t>
      </w:r>
    </w:p>
    <w:p>
      <w:pPr>
        <w:pStyle w:val="ListParagraph"/>
        <w:numPr>
          <w:ilvl w:val="1"/>
          <w:numId w:val="1"/>
        </w:numPr>
        <w:spacing w:after="40"/>
      </w:pPr>
      <w:r>
        <w:t xml:space="preserve">File the post-incident report for accreditation and audit records</w:t>
      </w:r>
    </w:p>
    <w:p>
      <w:pPr>
        <w:spacing w:after="100"/>
      </w:pPr>
      <w:r>
        <w:rPr>
          <w:i/>
          <w:iCs/>
          <w:color w:val="1F7A4D"/>
        </w:rPr>
        <w:t xml:space="preserve">Tip: Accreditation reviewers may ask for evidence of incident response processes. Keep post-incident reports organized and accessible — they demonstrate institutional maturity.</w:t>
      </w:r>
    </w:p>
    <w:p>
      <w:pPr>
        <w:pStyle w:val="Heading2"/>
        <w:spacing w:after="100" w:before="240"/>
      </w:pPr>
      <w:r>
        <w:t xml:space="preserve">Completion Checklist</w:t>
      </w:r>
    </w:p>
    <w:p>
      <w:pPr>
        <w:spacing w:after="40"/>
      </w:pPr>
      <w:r>
        <w:t xml:space="preserve">☐  Incident logged in the ticketing system with timestamp and details</w:t>
      </w:r>
    </w:p>
    <w:p>
      <w:pPr>
        <w:spacing w:after="40"/>
      </w:pPr>
      <w:r>
        <w:t xml:space="preserve">☐  Severity level assigned and documented</w:t>
      </w:r>
    </w:p>
    <w:p>
      <w:pPr>
        <w:spacing w:after="40"/>
      </w:pPr>
      <w:r>
        <w:t xml:space="preserve">☐  Response team activated within target response time</w:t>
      </w:r>
    </w:p>
    <w:p>
      <w:pPr>
        <w:spacing w:after="40"/>
      </w:pPr>
      <w:r>
        <w:t xml:space="preserve">☐  Affected systems contained to prevent further impact</w:t>
      </w:r>
    </w:p>
    <w:p>
      <w:pPr>
        <w:spacing w:after="40"/>
      </w:pPr>
      <w:r>
        <w:t xml:space="preserve">☐  FERPA impact assessment completed by information security officer</w:t>
      </w:r>
    </w:p>
    <w:p>
      <w:pPr>
        <w:spacing w:after="40"/>
      </w:pPr>
      <w:r>
        <w:t xml:space="preserve">☐  Stakeholder notifications sent using approved templates</w:t>
      </w:r>
    </w:p>
    <w:p>
      <w:pPr>
        <w:spacing w:after="40"/>
      </w:pPr>
      <w:r>
        <w:t xml:space="preserve">☐  Root cause identified and technical fix applied</w:t>
      </w:r>
    </w:p>
    <w:p>
      <w:pPr>
        <w:spacing w:after="40"/>
      </w:pPr>
      <w:r>
        <w:t xml:space="preserve">☐  All affected systems verified operational</w:t>
      </w:r>
    </w:p>
    <w:p>
      <w:pPr>
        <w:spacing w:after="40"/>
      </w:pPr>
      <w:r>
        <w:t xml:space="preserve">☐  Resolution notification sent to all stakeholders</w:t>
      </w:r>
    </w:p>
    <w:p>
      <w:pPr>
        <w:spacing w:after="40"/>
      </w:pPr>
      <w:r>
        <w:t xml:space="preserve">☐  Post-incident review completed within 5 business days</w:t>
      </w:r>
    </w:p>
    <w:p>
      <w:pPr>
        <w:spacing w:after="40"/>
      </w:pPr>
      <w:r>
        <w:t xml:space="preserve">☐  Action items assigned with owners and deadlines</w:t>
      </w:r>
    </w:p>
    <w:p>
      <w:pPr>
        <w:spacing w:after="40"/>
      </w:pPr>
      <w:r>
        <w:t xml:space="preserve">☐  Post-incident report filed for accreditation records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Mean time to detect (MTTD)</w:t>
            </w:r>
          </w:p>
        </w:tc>
        <w:tc>
          <w:tcPr>
            <w:tcMar>
              <w:top w:type="dxa" w:w="60"/>
              <w:left w:type="dxa" w:w="120"/>
              <w:bottom w:type="dxa" w:w="60"/>
              <w:right w:type="dxa" w:w="120"/>
            </w:tcMar>
          </w:tcPr>
          <w:p>
            <w:r>
              <w:rPr>
                <w:b w:val="false"/>
                <w:bCs w:val="false"/>
              </w:rPr>
              <w:t xml:space="preserve">Under 15 minutes for Severity 1 incidents</w:t>
            </w:r>
          </w:p>
        </w:tc>
      </w:tr>
      <w:tr>
        <w:trPr>
          <w:tblHeader w:val="false"/>
        </w:trPr>
        <w:tc>
          <w:tcPr>
            <w:tcMar>
              <w:top w:type="dxa" w:w="60"/>
              <w:left w:type="dxa" w:w="120"/>
              <w:bottom w:type="dxa" w:w="60"/>
              <w:right w:type="dxa" w:w="120"/>
            </w:tcMar>
          </w:tcPr>
          <w:p>
            <w:r>
              <w:rPr>
                <w:b w:val="false"/>
                <w:bCs w:val="false"/>
              </w:rPr>
              <w:t xml:space="preserve">Mean time to resolve (MTTR)</w:t>
            </w:r>
          </w:p>
        </w:tc>
        <w:tc>
          <w:tcPr>
            <w:tcMar>
              <w:top w:type="dxa" w:w="60"/>
              <w:left w:type="dxa" w:w="120"/>
              <w:bottom w:type="dxa" w:w="60"/>
              <w:right w:type="dxa" w:w="120"/>
            </w:tcMar>
          </w:tcPr>
          <w:p>
            <w:r>
              <w:rPr>
                <w:b w:val="false"/>
                <w:bCs w:val="false"/>
              </w:rPr>
              <w:t xml:space="preserve">Under 4 hours for Severity 1, under 24 hours for Severity 2</w:t>
            </w:r>
          </w:p>
        </w:tc>
      </w:tr>
      <w:tr>
        <w:trPr>
          <w:tblHeader w:val="false"/>
        </w:trPr>
        <w:tc>
          <w:tcPr>
            <w:tcMar>
              <w:top w:type="dxa" w:w="60"/>
              <w:left w:type="dxa" w:w="120"/>
              <w:bottom w:type="dxa" w:w="60"/>
              <w:right w:type="dxa" w:w="120"/>
            </w:tcMar>
          </w:tcPr>
          <w:p>
            <w:r>
              <w:rPr>
                <w:b w:val="false"/>
                <w:bCs w:val="false"/>
              </w:rPr>
              <w:t xml:space="preserve">FERPA assessment completion</w:t>
            </w:r>
          </w:p>
        </w:tc>
        <w:tc>
          <w:tcPr>
            <w:tcMar>
              <w:top w:type="dxa" w:w="60"/>
              <w:left w:type="dxa" w:w="120"/>
              <w:bottom w:type="dxa" w:w="60"/>
              <w:right w:type="dxa" w:w="120"/>
            </w:tcMar>
          </w:tcPr>
          <w:p>
            <w:r>
              <w:rPr>
                <w:b w:val="false"/>
                <w:bCs w:val="false"/>
              </w:rPr>
              <w:t xml:space="preserve">Within 2 hours of any incident involving student data systems</w:t>
            </w:r>
          </w:p>
        </w:tc>
      </w:tr>
      <w:tr>
        <w:trPr>
          <w:tblHeader w:val="false"/>
        </w:trPr>
        <w:tc>
          <w:tcPr>
            <w:tcMar>
              <w:top w:type="dxa" w:w="60"/>
              <w:left w:type="dxa" w:w="120"/>
              <w:bottom w:type="dxa" w:w="60"/>
              <w:right w:type="dxa" w:w="120"/>
            </w:tcMar>
          </w:tcPr>
          <w:p>
            <w:r>
              <w:rPr>
                <w:b w:val="false"/>
                <w:bCs w:val="false"/>
              </w:rPr>
              <w:t xml:space="preserve">Post-incident review completion rate</w:t>
            </w:r>
          </w:p>
        </w:tc>
        <w:tc>
          <w:tcPr>
            <w:tcMar>
              <w:top w:type="dxa" w:w="60"/>
              <w:left w:type="dxa" w:w="120"/>
              <w:bottom w:type="dxa" w:w="60"/>
              <w:right w:type="dxa" w:w="120"/>
            </w:tcMar>
          </w:tcPr>
          <w:p>
            <w:r>
              <w:rPr>
                <w:b w:val="false"/>
                <w:bCs w:val="false"/>
              </w:rPr>
              <w:t xml:space="preserve">100% for Severity 1 and 2 incidents</w:t>
            </w:r>
          </w:p>
        </w:tc>
      </w:tr>
    </w:tbl>
    <w:p>
      <w:pPr>
        <w:pStyle w:val="Heading2"/>
        <w:spacing w:after="100" w:before="240"/>
      </w:pPr>
      <w:r>
        <w:t xml:space="preserve">Revision Schedule</w:t>
      </w:r>
    </w:p>
    <w:p>
      <w:pPr>
        <w:spacing w:after="100"/>
      </w:pPr>
      <w:r>
        <w:t xml:space="preserve">Annually, or immediately after any Severity 1 incident, changes to FERPA regulations, or feedback from accreditation reviewers.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SOP Template for Education Teams</dc:title>
  <dc:creator>Glyde</dc:creator>
  <dc:description>Free incident response SOP template for education IT teams. Step-by-step procedures for handling system outages and security incidents at schools and universities.</dc:description>
  <cp:lastModifiedBy>Un-named</cp:lastModifiedBy>
  <cp:revision>1</cp:revision>
  <dcterms:created xsi:type="dcterms:W3CDTF">2026-07-22T08:34:35.728Z</dcterms:created>
  <dcterms:modified xsi:type="dcterms:W3CDTF">2026-07-22T08:34:35.728Z</dcterms:modified>
</cp:coreProperties>
</file>

<file path=docProps/custom.xml><?xml version="1.0" encoding="utf-8"?>
<Properties xmlns="http://schemas.openxmlformats.org/officeDocument/2006/custom-properties" xmlns:vt="http://schemas.openxmlformats.org/officeDocument/2006/docPropsVTypes"/>
</file>