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Incident Response for Financial Services</w:t>
      </w:r>
    </w:p>
    <w:p>
      <w:pPr>
        <w:spacing w:after="200"/>
      </w:pPr>
      <w:r>
        <w:rPr>
          <w:i/>
          <w:iCs/>
          <w:color w:val="6B7280"/>
        </w:rPr>
        <w:t xml:space="preserve">Free incident response SOP template for financial services. Covers detection, triage, escalation, regulatory notification, recovery, and post-incident review.</w:t>
      </w:r>
    </w:p>
    <w:p>
      <w:pPr>
        <w:pStyle w:val="Heading2"/>
        <w:spacing w:after="100" w:before="240"/>
      </w:pPr>
      <w:r>
        <w:t xml:space="preserve">Purpose</w:t>
      </w:r>
    </w:p>
    <w:p>
      <w:pPr>
        <w:spacing w:after="100"/>
      </w:pPr>
      <w:r>
        <w:t xml:space="preserve">Define the step-by-step process for detecting, triaging, escalating, and resolving incidents that affect your financial services organization's systems, data, or operations. This SOP covers everything from core banking outages to cybersecurity breaches to fraud events. It ensures your team responds within regulatory timeframes, notifies the appropriate parties, preserves evidence for forensic analysis, and conducts a thorough post-incident review to prevent recurrence.</w:t>
      </w:r>
    </w:p>
    <w:p>
      <w:pPr>
        <w:pStyle w:val="Heading2"/>
        <w:spacing w:after="100" w:before="240"/>
      </w:pPr>
      <w:r>
        <w:t xml:space="preserve">Scope</w:t>
      </w:r>
    </w:p>
    <w:p>
      <w:pPr>
        <w:spacing w:after="100"/>
      </w:pPr>
      <w:r>
        <w:t xml:space="preserve">Covers all incidents affecting production systems, customer data, financial transactions, or business operations at banks, credit unions, investment firms, and fintech companies. Includes IT system outages, cybersecurity events, data breaches, fraud incidents, and operational disruptions. Does not cover planned maintenance windows or business continuity / disaster recovery activation, which are documented separately.</w:t>
      </w:r>
    </w:p>
    <w:p>
      <w:pPr>
        <w:pStyle w:val="Heading2"/>
        <w:spacing w:after="100" w:before="240"/>
      </w:pPr>
      <w:r>
        <w:t xml:space="preserve">Prerequisites</w:t>
      </w:r>
    </w:p>
    <w:p>
      <w:pPr>
        <w:pStyle w:val="ListParagraph"/>
        <w:numPr>
          <w:ilvl w:val="0"/>
          <w:numId w:val="1"/>
        </w:numPr>
        <w:spacing w:after="40"/>
      </w:pPr>
      <w:r>
        <w:t xml:space="preserve">Incident management platform configured (ServiceNow, PagerDuty, or Opsgenie)</w:t>
      </w:r>
    </w:p>
    <w:p>
      <w:pPr>
        <w:pStyle w:val="ListParagraph"/>
        <w:numPr>
          <w:ilvl w:val="0"/>
          <w:numId w:val="1"/>
        </w:numPr>
        <w:spacing w:after="40"/>
      </w:pPr>
      <w:r>
        <w:t xml:space="preserve">On-call rotation established for IT, security, and operations teams</w:t>
      </w:r>
    </w:p>
    <w:p>
      <w:pPr>
        <w:pStyle w:val="ListParagraph"/>
        <w:numPr>
          <w:ilvl w:val="0"/>
          <w:numId w:val="1"/>
        </w:numPr>
        <w:spacing w:after="40"/>
      </w:pPr>
      <w:r>
        <w:t xml:space="preserve">Severity classification matrix defined with response time SLAs for each level</w:t>
      </w:r>
    </w:p>
    <w:p>
      <w:pPr>
        <w:pStyle w:val="ListParagraph"/>
        <w:numPr>
          <w:ilvl w:val="0"/>
          <w:numId w:val="1"/>
        </w:numPr>
        <w:spacing w:after="40"/>
      </w:pPr>
      <w:r>
        <w:t xml:space="preserve">Regulatory notification contact list maintained (FDIC, OCC, SEC, FINRA, state regulators)</w:t>
      </w:r>
    </w:p>
    <w:p>
      <w:pPr>
        <w:pStyle w:val="ListParagraph"/>
        <w:numPr>
          <w:ilvl w:val="0"/>
          <w:numId w:val="1"/>
        </w:numPr>
        <w:spacing w:after="40"/>
      </w:pPr>
      <w:r>
        <w:t xml:space="preserve">Forensic evidence preservation procedures documented</w:t>
      </w:r>
    </w:p>
    <w:p>
      <w:pPr>
        <w:pStyle w:val="ListParagraph"/>
        <w:numPr>
          <w:ilvl w:val="0"/>
          <w:numId w:val="1"/>
        </w:numPr>
        <w:spacing w:after="40"/>
      </w:pPr>
      <w:r>
        <w:t xml:space="preserve">Communication templates prepared for internal escalation, customer notification, and regulatory reporting</w:t>
      </w:r>
    </w:p>
    <w:p>
      <w:pPr>
        <w:pStyle w:val="Heading2"/>
        <w:spacing w:after="100" w:before="240"/>
      </w:pPr>
      <w:r>
        <w:t xml:space="preserve">Roles &amp; Responsibilities</w:t>
      </w:r>
    </w:p>
    <w:p>
      <w:pPr>
        <w:spacing w:after="40" w:before="120"/>
      </w:pPr>
      <w:r>
        <w:rPr>
          <w:b/>
          <w:bCs/>
        </w:rPr>
        <w:t xml:space="preserve">Incident Commander</w:t>
      </w:r>
    </w:p>
    <w:p>
      <w:pPr>
        <w:pStyle w:val="ListParagraph"/>
        <w:numPr>
          <w:ilvl w:val="0"/>
          <w:numId w:val="1"/>
        </w:numPr>
        <w:spacing w:after="40"/>
      </w:pPr>
      <w:r>
        <w:t xml:space="preserve">Take ownership of the incident from declaration through resolution</w:t>
      </w:r>
    </w:p>
    <w:p>
      <w:pPr>
        <w:pStyle w:val="ListParagraph"/>
        <w:numPr>
          <w:ilvl w:val="0"/>
          <w:numId w:val="1"/>
        </w:numPr>
        <w:spacing w:after="40"/>
      </w:pPr>
      <w:r>
        <w:t xml:space="preserve">Coordinate response activities across all involved teams</w:t>
      </w:r>
    </w:p>
    <w:p>
      <w:pPr>
        <w:pStyle w:val="ListParagraph"/>
        <w:numPr>
          <w:ilvl w:val="0"/>
          <w:numId w:val="1"/>
        </w:numPr>
        <w:spacing w:after="40"/>
      </w:pPr>
      <w:r>
        <w:t xml:space="preserve">Make escalation and communication decisions based on severity</w:t>
      </w:r>
    </w:p>
    <w:p>
      <w:pPr>
        <w:pStyle w:val="ListParagraph"/>
        <w:numPr>
          <w:ilvl w:val="0"/>
          <w:numId w:val="1"/>
        </w:numPr>
        <w:spacing w:after="40"/>
      </w:pPr>
      <w:r>
        <w:t xml:space="preserve">Lead the post-incident review meeting</w:t>
      </w:r>
    </w:p>
    <w:p>
      <w:pPr>
        <w:spacing w:after="40" w:before="120"/>
      </w:pPr>
      <w:r>
        <w:rPr>
          <w:b/>
          <w:bCs/>
        </w:rPr>
        <w:t xml:space="preserve">IT / Security Operations Lead</w:t>
      </w:r>
    </w:p>
    <w:p>
      <w:pPr>
        <w:pStyle w:val="ListParagraph"/>
        <w:numPr>
          <w:ilvl w:val="0"/>
          <w:numId w:val="1"/>
        </w:numPr>
        <w:spacing w:after="40"/>
      </w:pPr>
      <w:r>
        <w:t xml:space="preserve">Perform initial triage and technical investigation</w:t>
      </w:r>
    </w:p>
    <w:p>
      <w:pPr>
        <w:pStyle w:val="ListParagraph"/>
        <w:numPr>
          <w:ilvl w:val="0"/>
          <w:numId w:val="1"/>
        </w:numPr>
        <w:spacing w:after="40"/>
      </w:pPr>
      <w:r>
        <w:t xml:space="preserve">Execute containment and remediation steps</w:t>
      </w:r>
    </w:p>
    <w:p>
      <w:pPr>
        <w:pStyle w:val="ListParagraph"/>
        <w:numPr>
          <w:ilvl w:val="0"/>
          <w:numId w:val="1"/>
        </w:numPr>
        <w:spacing w:after="40"/>
      </w:pPr>
      <w:r>
        <w:t xml:space="preserve">Preserve forensic evidence per documented procedures</w:t>
      </w:r>
    </w:p>
    <w:p>
      <w:pPr>
        <w:spacing w:after="40" w:before="120"/>
      </w:pPr>
      <w:r>
        <w:rPr>
          <w:b/>
          <w:bCs/>
        </w:rPr>
        <w:t xml:space="preserve">Compliance Officer</w:t>
      </w:r>
    </w:p>
    <w:p>
      <w:pPr>
        <w:pStyle w:val="ListParagraph"/>
        <w:numPr>
          <w:ilvl w:val="0"/>
          <w:numId w:val="1"/>
        </w:numPr>
        <w:spacing w:after="40"/>
      </w:pPr>
      <w:r>
        <w:t xml:space="preserve">Determine regulatory notification requirements based on incident type and severity</w:t>
      </w:r>
    </w:p>
    <w:p>
      <w:pPr>
        <w:pStyle w:val="ListParagraph"/>
        <w:numPr>
          <w:ilvl w:val="0"/>
          <w:numId w:val="1"/>
        </w:numPr>
        <w:spacing w:after="40"/>
      </w:pPr>
      <w:r>
        <w:t xml:space="preserve">Draft and submit regulatory filings (SAR, breach notifications)</w:t>
      </w:r>
    </w:p>
    <w:p>
      <w:pPr>
        <w:pStyle w:val="ListParagraph"/>
        <w:numPr>
          <w:ilvl w:val="0"/>
          <w:numId w:val="1"/>
        </w:numPr>
        <w:spacing w:after="40"/>
      </w:pPr>
      <w:r>
        <w:t xml:space="preserve">Advise on evidence preservation requirements for potential enforcement proceedings</w:t>
      </w:r>
    </w:p>
    <w:p>
      <w:pPr>
        <w:spacing w:after="40" w:before="120"/>
      </w:pPr>
      <w:r>
        <w:rPr>
          <w:b/>
          <w:bCs/>
        </w:rPr>
        <w:t xml:space="preserve">Communications Lead</w:t>
      </w:r>
    </w:p>
    <w:p>
      <w:pPr>
        <w:pStyle w:val="ListParagraph"/>
        <w:numPr>
          <w:ilvl w:val="0"/>
          <w:numId w:val="1"/>
        </w:numPr>
        <w:spacing w:after="40"/>
      </w:pPr>
      <w:r>
        <w:t xml:space="preserve">Draft internal and external communications about the incident</w:t>
      </w:r>
    </w:p>
    <w:p>
      <w:pPr>
        <w:pStyle w:val="ListParagraph"/>
        <w:numPr>
          <w:ilvl w:val="0"/>
          <w:numId w:val="1"/>
        </w:numPr>
        <w:spacing w:after="40"/>
      </w:pPr>
      <w:r>
        <w:t xml:space="preserve">Coordinate customer notifications if required by GLBA or state breach notification laws</w:t>
      </w:r>
    </w:p>
    <w:p>
      <w:pPr>
        <w:pStyle w:val="ListParagraph"/>
        <w:numPr>
          <w:ilvl w:val="0"/>
          <w:numId w:val="1"/>
        </w:numPr>
        <w:spacing w:after="40"/>
      </w:pPr>
      <w:r>
        <w:t xml:space="preserve">Manage media inquiries if the incident becomes public</w:t>
      </w:r>
    </w:p>
    <w:p>
      <w:pPr>
        <w:pStyle w:val="Heading2"/>
        <w:spacing w:after="100" w:before="240"/>
      </w:pPr>
      <w:r>
        <w:t xml:space="preserve">Procedure</w:t>
      </w:r>
    </w:p>
    <w:p>
      <w:pPr>
        <w:pStyle w:val="Heading3"/>
        <w:spacing w:after="40" w:before="160"/>
      </w:pPr>
      <w:r>
        <w:t xml:space="preserve">Step 1: Detect and log the incident</w:t>
      </w:r>
    </w:p>
    <w:p>
      <w:pPr>
        <w:spacing w:after="100"/>
      </w:pPr>
      <w:r>
        <w:t xml:space="preserve">Incidents are detected through automated monitoring alerts, staff reports, customer complaints, or fraud detection systems. Regardless of the source, the first responder creates an incident ticket immediately. Every minute of delay in logging reduces the accuracy of the incident timeline and makes regulatory reporting harder.</w:t>
      </w:r>
    </w:p>
    <w:p>
      <w:pPr>
        <w:pStyle w:val="ListParagraph"/>
        <w:numPr>
          <w:ilvl w:val="1"/>
          <w:numId w:val="1"/>
        </w:numPr>
        <w:spacing w:after="40"/>
      </w:pPr>
      <w:r>
        <w:t xml:space="preserve">Receive the alert from monitoring tools (SIEM, core banking alerts, fraud detection system)</w:t>
      </w:r>
    </w:p>
    <w:p>
      <w:pPr>
        <w:pStyle w:val="ListParagraph"/>
        <w:numPr>
          <w:ilvl w:val="1"/>
          <w:numId w:val="1"/>
        </w:numPr>
        <w:spacing w:after="40"/>
      </w:pPr>
      <w:r>
        <w:t xml:space="preserve">Create an incident ticket in the incident management platform with initial details</w:t>
      </w:r>
    </w:p>
    <w:p>
      <w:pPr>
        <w:pStyle w:val="ListParagraph"/>
        <w:numPr>
          <w:ilvl w:val="1"/>
          <w:numId w:val="1"/>
        </w:numPr>
        <w:spacing w:after="40"/>
      </w:pPr>
      <w:r>
        <w:t xml:space="preserve">Record the exact time of detection and the detection source</w:t>
      </w:r>
    </w:p>
    <w:p>
      <w:pPr>
        <w:pStyle w:val="ListParagraph"/>
        <w:numPr>
          <w:ilvl w:val="1"/>
          <w:numId w:val="1"/>
        </w:numPr>
        <w:spacing w:after="40"/>
      </w:pPr>
      <w:r>
        <w:t xml:space="preserve">Assign initial severity based on the classification matrix</w:t>
      </w:r>
    </w:p>
    <w:p>
      <w:pPr>
        <w:spacing w:after="100"/>
      </w:pPr>
      <w:r>
        <w:rPr>
          <w:i/>
          <w:iCs/>
          <w:color w:val="B45309"/>
        </w:rPr>
        <w:t xml:space="preserve">Warning: Do not attempt to fix the issue before logging it. In financial services, regulatory examiners will review incident timelines. An unlogged incident that is later discovered looks far worse than one that was immediately documented.</w:t>
      </w:r>
    </w:p>
    <w:p>
      <w:pPr>
        <w:pStyle w:val="Heading3"/>
        <w:spacing w:after="40" w:before="160"/>
      </w:pPr>
      <w:r>
        <w:t xml:space="preserve">Step 2: Triage and classify severity</w:t>
      </w:r>
    </w:p>
    <w:p>
      <w:pPr>
        <w:spacing w:after="100"/>
      </w:pPr>
      <w:r>
        <w:t xml:space="preserve">Assess the incident to determine its actual scope and severity. Severity drives the response speed, escalation path, and regulatory notification requirements. A Severity 1 incident (core banking down, active data breach, or fraud in progress) triggers an all-hands response. A Severity 3 (minor degradation, no customer impact) follows a standard resolution path.</w:t>
      </w:r>
    </w:p>
    <w:p>
      <w:pPr>
        <w:pStyle w:val="ListParagraph"/>
        <w:numPr>
          <w:ilvl w:val="1"/>
          <w:numId w:val="1"/>
        </w:numPr>
        <w:spacing w:after="40"/>
      </w:pPr>
      <w:r>
        <w:t xml:space="preserve">Determine which systems, data, and customers are affected</w:t>
      </w:r>
    </w:p>
    <w:p>
      <w:pPr>
        <w:pStyle w:val="ListParagraph"/>
        <w:numPr>
          <w:ilvl w:val="1"/>
          <w:numId w:val="1"/>
        </w:numPr>
        <w:spacing w:after="40"/>
      </w:pPr>
      <w:r>
        <w:t xml:space="preserve">Assess whether customer financial data or personally identifiable information is compromised</w:t>
      </w:r>
    </w:p>
    <w:p>
      <w:pPr>
        <w:pStyle w:val="ListParagraph"/>
        <w:numPr>
          <w:ilvl w:val="1"/>
          <w:numId w:val="1"/>
        </w:numPr>
        <w:spacing w:after="40"/>
      </w:pPr>
      <w:r>
        <w:t xml:space="preserve">Check whether the incident affects regulatory reporting, transaction processing, or BSA/AML monitoring</w:t>
      </w:r>
    </w:p>
    <w:p>
      <w:pPr>
        <w:pStyle w:val="ListParagraph"/>
        <w:numPr>
          <w:ilvl w:val="1"/>
          <w:numId w:val="1"/>
        </w:numPr>
        <w:spacing w:after="40"/>
      </w:pPr>
      <w:r>
        <w:t xml:space="preserve">Update the severity classification based on actual impact, not initial assumptions</w:t>
      </w:r>
    </w:p>
    <w:p>
      <w:pPr>
        <w:spacing w:after="100"/>
      </w:pPr>
      <w:r>
        <w:rPr>
          <w:i/>
          <w:iCs/>
          <w:color w:val="1F7A4D"/>
        </w:rPr>
        <w:t xml:space="preserve">Tip: For cybersecurity incidents, assume the worst case during initial triage and downgrade later if warranted. Regulators are more concerned about under-classification than over-classification.</w:t>
      </w:r>
    </w:p>
    <w:p>
      <w:pPr>
        <w:pStyle w:val="Heading3"/>
        <w:spacing w:after="40" w:before="160"/>
      </w:pPr>
      <w:r>
        <w:t xml:space="preserve">Step 3: Assemble the response team and notify leadership</w:t>
      </w:r>
    </w:p>
    <w:p>
      <w:pPr>
        <w:spacing w:after="100"/>
      </w:pPr>
      <w:r>
        <w:t xml:space="preserve">Page the appropriate response team based on severity. For Severity 1 incidents, this includes the Incident Commander, IT/Security Operations, Compliance, Legal, and the Communications Lead. Notify senior leadership (CTO, CISO, COO) within 30 minutes for Severity 1 events. Open a dedicated war room channel for real-time coordination.</w:t>
      </w:r>
    </w:p>
    <w:p>
      <w:pPr>
        <w:pStyle w:val="ListParagraph"/>
        <w:numPr>
          <w:ilvl w:val="1"/>
          <w:numId w:val="1"/>
        </w:numPr>
        <w:spacing w:after="40"/>
      </w:pPr>
      <w:r>
        <w:t xml:space="preserve">Page the on-call Incident Commander and IT/Security operations lead</w:t>
      </w:r>
    </w:p>
    <w:p>
      <w:pPr>
        <w:pStyle w:val="ListParagraph"/>
        <w:numPr>
          <w:ilvl w:val="1"/>
          <w:numId w:val="1"/>
        </w:numPr>
        <w:spacing w:after="40"/>
      </w:pPr>
      <w:r>
        <w:t xml:space="preserve">Open a dedicated Slack channel or conference bridge for the incident</w:t>
      </w:r>
    </w:p>
    <w:p>
      <w:pPr>
        <w:pStyle w:val="ListParagraph"/>
        <w:numPr>
          <w:ilvl w:val="1"/>
          <w:numId w:val="1"/>
        </w:numPr>
        <w:spacing w:after="40"/>
      </w:pPr>
      <w:r>
        <w:t xml:space="preserve">Notify senior leadership per the escalation matrix</w:t>
      </w:r>
    </w:p>
    <w:p>
      <w:pPr>
        <w:pStyle w:val="ListParagraph"/>
        <w:numPr>
          <w:ilvl w:val="1"/>
          <w:numId w:val="1"/>
        </w:numPr>
        <w:spacing w:after="40"/>
      </w:pPr>
      <w:r>
        <w:t xml:space="preserve">Brief the compliance officer on the incident type to begin regulatory impact assessment</w:t>
      </w:r>
    </w:p>
    <w:p>
      <w:pPr>
        <w:pStyle w:val="Heading3"/>
        <w:spacing w:after="40" w:before="160"/>
      </w:pPr>
      <w:r>
        <w:t xml:space="preserve">Step 4: Contain the incident</w:t>
      </w:r>
    </w:p>
    <w:p>
      <w:pPr>
        <w:spacing w:after="100"/>
      </w:pPr>
      <w:r>
        <w:t xml:space="preserve">Take immediate action to stop the incident from spreading or causing additional damage. For a cybersecurity breach, isolate affected systems. For a core banking outage, activate failover procedures. For fraud, freeze affected accounts. Containment takes priority over root cause analysis at this stage.</w:t>
      </w:r>
    </w:p>
    <w:p>
      <w:pPr>
        <w:pStyle w:val="ListParagraph"/>
        <w:numPr>
          <w:ilvl w:val="1"/>
          <w:numId w:val="1"/>
        </w:numPr>
        <w:spacing w:after="40"/>
      </w:pPr>
      <w:r>
        <w:t xml:space="preserve">Isolate compromised systems from the network (for security incidents)</w:t>
      </w:r>
    </w:p>
    <w:p>
      <w:pPr>
        <w:pStyle w:val="ListParagraph"/>
        <w:numPr>
          <w:ilvl w:val="1"/>
          <w:numId w:val="1"/>
        </w:numPr>
        <w:spacing w:after="40"/>
      </w:pPr>
      <w:r>
        <w:t xml:space="preserve">Activate failover or disaster recovery procedures (for system outages)</w:t>
      </w:r>
    </w:p>
    <w:p>
      <w:pPr>
        <w:pStyle w:val="ListParagraph"/>
        <w:numPr>
          <w:ilvl w:val="1"/>
          <w:numId w:val="1"/>
        </w:numPr>
        <w:spacing w:after="40"/>
      </w:pPr>
      <w:r>
        <w:t xml:space="preserve">Freeze affected customer accounts (for fraud or unauthorized access events)</w:t>
      </w:r>
    </w:p>
    <w:p>
      <w:pPr>
        <w:pStyle w:val="ListParagraph"/>
        <w:numPr>
          <w:ilvl w:val="1"/>
          <w:numId w:val="1"/>
        </w:numPr>
        <w:spacing w:after="40"/>
      </w:pPr>
      <w:r>
        <w:t xml:space="preserve">Disable compromised user credentials and API keys</w:t>
      </w:r>
    </w:p>
    <w:p>
      <w:pPr>
        <w:pStyle w:val="ListParagraph"/>
        <w:numPr>
          <w:ilvl w:val="1"/>
          <w:numId w:val="1"/>
        </w:numPr>
        <w:spacing w:after="40"/>
      </w:pPr>
      <w:r>
        <w:t xml:space="preserve">Preserve system logs and forensic evidence before making any changes to affected systems</w:t>
      </w:r>
    </w:p>
    <w:p>
      <w:pPr>
        <w:spacing w:after="100"/>
      </w:pPr>
      <w:r>
        <w:rPr>
          <w:i/>
          <w:iCs/>
          <w:color w:val="B45309"/>
        </w:rPr>
        <w:t xml:space="preserve">Warning: Do not reboot, wipe, or rebuild compromised systems before preserving forensic evidence. Financial regulators and law enforcement may require this evidence. Work with your forensics procedures to capture disk images and memory dumps first.</w:t>
      </w:r>
    </w:p>
    <w:p>
      <w:pPr>
        <w:pStyle w:val="Heading3"/>
        <w:spacing w:after="40" w:before="160"/>
      </w:pPr>
      <w:r>
        <w:t xml:space="preserve">Step 5: Assess regulatory notification requirements</w:t>
      </w:r>
    </w:p>
    <w:p>
      <w:pPr>
        <w:spacing w:after="100"/>
      </w:pPr>
      <w:r>
        <w:t xml:space="preserve">Determine whether the incident triggers mandatory regulatory notification. Data breaches involving customer financial data require notification under GLBA Safeguards Rule and state breach notification laws. Suspicious activity must be reported via SAR filing within 30 days. Significant cybersecurity events may require notification to your primary federal regulator (FDIC, OCC, or Fed) within 36 hours under the Computer-Security Incident Notification Rule.</w:t>
      </w:r>
    </w:p>
    <w:p>
      <w:pPr>
        <w:pStyle w:val="ListParagraph"/>
        <w:numPr>
          <w:ilvl w:val="1"/>
          <w:numId w:val="1"/>
        </w:numPr>
        <w:spacing w:after="40"/>
      </w:pPr>
      <w:r>
        <w:t xml:space="preserve">Determine if the incident involves unauthorized access to customer financial data (triggers GLBA notification)</w:t>
      </w:r>
    </w:p>
    <w:p>
      <w:pPr>
        <w:pStyle w:val="ListParagraph"/>
        <w:numPr>
          <w:ilvl w:val="1"/>
          <w:numId w:val="1"/>
        </w:numPr>
        <w:spacing w:after="40"/>
      </w:pPr>
      <w:r>
        <w:t xml:space="preserve">Check whether the incident meets the threshold for a SAR filing under BSA/AML rules</w:t>
      </w:r>
    </w:p>
    <w:p>
      <w:pPr>
        <w:pStyle w:val="ListParagraph"/>
        <w:numPr>
          <w:ilvl w:val="1"/>
          <w:numId w:val="1"/>
        </w:numPr>
        <w:spacing w:after="40"/>
      </w:pPr>
      <w:r>
        <w:t xml:space="preserve">Assess whether the 36-hour federal regulator notification requirement applies (banking organizations)</w:t>
      </w:r>
    </w:p>
    <w:p>
      <w:pPr>
        <w:pStyle w:val="ListParagraph"/>
        <w:numPr>
          <w:ilvl w:val="1"/>
          <w:numId w:val="1"/>
        </w:numPr>
        <w:spacing w:after="40"/>
      </w:pPr>
      <w:r>
        <w:t xml:space="preserve">Identify all state breach notification laws that apply based on affected customer locations</w:t>
      </w:r>
    </w:p>
    <w:p>
      <w:pPr>
        <w:pStyle w:val="ListParagraph"/>
        <w:numPr>
          <w:ilvl w:val="1"/>
          <w:numId w:val="1"/>
        </w:numPr>
        <w:spacing w:after="40"/>
      </w:pPr>
      <w:r>
        <w:t xml:space="preserve">Brief legal counsel on the incident for privilege-related decisions</w:t>
      </w:r>
    </w:p>
    <w:p>
      <w:pPr>
        <w:pStyle w:val="Heading3"/>
        <w:spacing w:after="40" w:before="160"/>
      </w:pPr>
      <w:r>
        <w:t xml:space="preserve">Step 6: Investigate root cause</w:t>
      </w:r>
    </w:p>
    <w:p>
      <w:pPr>
        <w:spacing w:after="100"/>
      </w:pPr>
      <w:r>
        <w:t xml:space="preserve">Once the incident is contained, investigate the root cause. Analyze system logs, transaction records, access logs, and network traffic to determine what happened, how it happened, and what data or systems were affected. Document the complete incident timeline from initial compromise or failure through detection.</w:t>
      </w:r>
    </w:p>
    <w:p>
      <w:pPr>
        <w:pStyle w:val="ListParagraph"/>
        <w:numPr>
          <w:ilvl w:val="1"/>
          <w:numId w:val="1"/>
        </w:numPr>
        <w:spacing w:after="40"/>
      </w:pPr>
      <w:r>
        <w:t xml:space="preserve">Review SIEM alerts and system logs for the period surrounding the incident</w:t>
      </w:r>
    </w:p>
    <w:p>
      <w:pPr>
        <w:pStyle w:val="ListParagraph"/>
        <w:numPr>
          <w:ilvl w:val="1"/>
          <w:numId w:val="1"/>
        </w:numPr>
        <w:spacing w:after="40"/>
      </w:pPr>
      <w:r>
        <w:t xml:space="preserve">Analyze access logs to identify any unauthorized access to core banking or customer data</w:t>
      </w:r>
    </w:p>
    <w:p>
      <w:pPr>
        <w:pStyle w:val="ListParagraph"/>
        <w:numPr>
          <w:ilvl w:val="1"/>
          <w:numId w:val="1"/>
        </w:numPr>
        <w:spacing w:after="40"/>
      </w:pPr>
      <w:r>
        <w:t xml:space="preserve">Review transaction logs for any unauthorized or suspicious financial transactions</w:t>
      </w:r>
    </w:p>
    <w:p>
      <w:pPr>
        <w:pStyle w:val="ListParagraph"/>
        <w:numPr>
          <w:ilvl w:val="1"/>
          <w:numId w:val="1"/>
        </w:numPr>
        <w:spacing w:after="40"/>
      </w:pPr>
      <w:r>
        <w:t xml:space="preserve">Trace the attack vector or failure chain to the root cause</w:t>
      </w:r>
    </w:p>
    <w:p>
      <w:pPr>
        <w:pStyle w:val="ListParagraph"/>
        <w:numPr>
          <w:ilvl w:val="1"/>
          <w:numId w:val="1"/>
        </w:numPr>
        <w:spacing w:after="40"/>
      </w:pPr>
      <w:r>
        <w:t xml:space="preserve">Document the complete timeline in the incident ticket</w:t>
      </w:r>
    </w:p>
    <w:p>
      <w:pPr>
        <w:pStyle w:val="Heading3"/>
        <w:spacing w:after="40" w:before="160"/>
      </w:pPr>
      <w:r>
        <w:t xml:space="preserve">Step 7: Remediate and restore services</w:t>
      </w:r>
    </w:p>
    <w:p>
      <w:pPr>
        <w:spacing w:after="100"/>
      </w:pPr>
      <w:r>
        <w:t xml:space="preserve">Fix the root cause and restore affected systems to normal operation. For cybersecurity incidents, this means patching vulnerabilities, rotating credentials, and rebuilding compromised systems from clean backups. For outages, this means restoring services and verifying transaction integrity. Validate that all financial data and regulatory reporting systems are functioning correctly before declaring the incident resolved.</w:t>
      </w:r>
    </w:p>
    <w:p>
      <w:pPr>
        <w:pStyle w:val="ListParagraph"/>
        <w:numPr>
          <w:ilvl w:val="1"/>
          <w:numId w:val="1"/>
        </w:numPr>
        <w:spacing w:after="40"/>
      </w:pPr>
      <w:r>
        <w:t xml:space="preserve">Apply fixes to address the root cause (patches, configuration changes, access revocations)</w:t>
      </w:r>
    </w:p>
    <w:p>
      <w:pPr>
        <w:pStyle w:val="ListParagraph"/>
        <w:numPr>
          <w:ilvl w:val="1"/>
          <w:numId w:val="1"/>
        </w:numPr>
        <w:spacing w:after="40"/>
      </w:pPr>
      <w:r>
        <w:t xml:space="preserve">Restore affected systems from verified clean backups</w:t>
      </w:r>
    </w:p>
    <w:p>
      <w:pPr>
        <w:pStyle w:val="ListParagraph"/>
        <w:numPr>
          <w:ilvl w:val="1"/>
          <w:numId w:val="1"/>
        </w:numPr>
        <w:spacing w:after="40"/>
      </w:pPr>
      <w:r>
        <w:t xml:space="preserve">Verify core banking transaction processing is functioning correctly</w:t>
      </w:r>
    </w:p>
    <w:p>
      <w:pPr>
        <w:pStyle w:val="ListParagraph"/>
        <w:numPr>
          <w:ilvl w:val="1"/>
          <w:numId w:val="1"/>
        </w:numPr>
        <w:spacing w:after="40"/>
      </w:pPr>
      <w:r>
        <w:t xml:space="preserve">Confirm BSA/AML monitoring, regulatory reporting feeds, and customer-facing systems are operational</w:t>
      </w:r>
    </w:p>
    <w:p>
      <w:pPr>
        <w:pStyle w:val="ListParagraph"/>
        <w:numPr>
          <w:ilvl w:val="1"/>
          <w:numId w:val="1"/>
        </w:numPr>
        <w:spacing w:after="40"/>
      </w:pPr>
      <w:r>
        <w:t xml:space="preserve">Run reconciliation checks to identify any transaction discrepancies during the incident window</w:t>
      </w:r>
    </w:p>
    <w:p>
      <w:pPr>
        <w:pStyle w:val="Heading3"/>
        <w:spacing w:after="40" w:before="160"/>
      </w:pPr>
      <w:r>
        <w:t xml:space="preserve">Step 8: Notify affected customers</w:t>
      </w:r>
    </w:p>
    <w:p>
      <w:pPr>
        <w:spacing w:after="100"/>
      </w:pPr>
      <w:r>
        <w:t xml:space="preserve">If the incident involved unauthorized access to customer data, notify affected customers per GLBA requirements and applicable state laws. Provide clear information about what happened, what data was affected, and what steps customers should take to protect themselves. Coordinate with your communications lead and legal counsel on the notification content and timing.</w:t>
      </w:r>
    </w:p>
    <w:p>
      <w:pPr>
        <w:pStyle w:val="ListParagraph"/>
        <w:numPr>
          <w:ilvl w:val="1"/>
          <w:numId w:val="1"/>
        </w:numPr>
        <w:spacing w:after="40"/>
      </w:pPr>
      <w:r>
        <w:t xml:space="preserve">Draft customer notification letters with legal and compliance review</w:t>
      </w:r>
    </w:p>
    <w:p>
      <w:pPr>
        <w:pStyle w:val="ListParagraph"/>
        <w:numPr>
          <w:ilvl w:val="1"/>
          <w:numId w:val="1"/>
        </w:numPr>
        <w:spacing w:after="40"/>
      </w:pPr>
      <w:r>
        <w:t xml:space="preserve">Determine the notification method (mail, email, or both) based on state law requirements</w:t>
      </w:r>
    </w:p>
    <w:p>
      <w:pPr>
        <w:pStyle w:val="ListParagraph"/>
        <w:numPr>
          <w:ilvl w:val="1"/>
          <w:numId w:val="1"/>
        </w:numPr>
        <w:spacing w:after="40"/>
      </w:pPr>
      <w:r>
        <w:t xml:space="preserve">Set up credit monitoring or identity theft protection services if required</w:t>
      </w:r>
    </w:p>
    <w:p>
      <w:pPr>
        <w:pStyle w:val="ListParagraph"/>
        <w:numPr>
          <w:ilvl w:val="1"/>
          <w:numId w:val="1"/>
        </w:numPr>
        <w:spacing w:after="40"/>
      </w:pPr>
      <w:r>
        <w:t xml:space="preserve">Prepare call center scripts for customer inquiries about the incident</w:t>
      </w:r>
    </w:p>
    <w:p>
      <w:pPr>
        <w:pStyle w:val="Heading3"/>
        <w:spacing w:after="40" w:before="160"/>
      </w:pPr>
      <w:r>
        <w:t xml:space="preserve">Step 9: File regulatory reports</w:t>
      </w:r>
    </w:p>
    <w:p>
      <w:pPr>
        <w:spacing w:after="100"/>
      </w:pPr>
      <w:r>
        <w:t xml:space="preserve">Submit all required regulatory notifications within the mandated timeframes. File SARs through FinCEN's BSA E-Filing system. Submit breach notifications to your primary federal regulator. Notify state regulators per their specific requirements. Keep copies of all filings and confirmation receipts.</w:t>
      </w:r>
    </w:p>
    <w:p>
      <w:pPr>
        <w:pStyle w:val="ListParagraph"/>
        <w:numPr>
          <w:ilvl w:val="1"/>
          <w:numId w:val="1"/>
        </w:numPr>
        <w:spacing w:after="40"/>
      </w:pPr>
      <w:r>
        <w:t xml:space="preserve">File SAR through FinCEN BSA E-Filing if suspicious activity is identified</w:t>
      </w:r>
    </w:p>
    <w:p>
      <w:pPr>
        <w:pStyle w:val="ListParagraph"/>
        <w:numPr>
          <w:ilvl w:val="1"/>
          <w:numId w:val="1"/>
        </w:numPr>
        <w:spacing w:after="40"/>
      </w:pPr>
      <w:r>
        <w:t xml:space="preserve">Submit Computer-Security Incident Notification to your primary federal regulator within 36 hours (if applicable)</w:t>
      </w:r>
    </w:p>
    <w:p>
      <w:pPr>
        <w:pStyle w:val="ListParagraph"/>
        <w:numPr>
          <w:ilvl w:val="1"/>
          <w:numId w:val="1"/>
        </w:numPr>
        <w:spacing w:after="40"/>
      </w:pPr>
      <w:r>
        <w:t xml:space="preserve">File state breach notifications for all affected states within their required timeframes</w:t>
      </w:r>
    </w:p>
    <w:p>
      <w:pPr>
        <w:pStyle w:val="ListParagraph"/>
        <w:numPr>
          <w:ilvl w:val="1"/>
          <w:numId w:val="1"/>
        </w:numPr>
        <w:spacing w:after="40"/>
      </w:pPr>
      <w:r>
        <w:t xml:space="preserve">Archive all filing confirmations in the incident record</w:t>
      </w:r>
    </w:p>
    <w:p>
      <w:pPr>
        <w:pStyle w:val="Heading3"/>
        <w:spacing w:after="40" w:before="160"/>
      </w:pPr>
      <w:r>
        <w:t xml:space="preserve">Step 10: Conduct post-incident review</w:t>
      </w:r>
    </w:p>
    <w:p>
      <w:pPr>
        <w:spacing w:after="100"/>
      </w:pPr>
      <w:r>
        <w:t xml:space="preserve">Within 5 business days of incident resolution, hold a post-incident review meeting with all response team members. Walk through the complete timeline, assess what went well and what needs improvement, and identify specific action items to prevent recurrence. Document the review in a formal post-incident report.</w:t>
      </w:r>
    </w:p>
    <w:p>
      <w:pPr>
        <w:pStyle w:val="ListParagraph"/>
        <w:numPr>
          <w:ilvl w:val="1"/>
          <w:numId w:val="1"/>
        </w:numPr>
        <w:spacing w:after="40"/>
      </w:pPr>
      <w:r>
        <w:t xml:space="preserve">Schedule the review meeting within 5 business days of resolution</w:t>
      </w:r>
    </w:p>
    <w:p>
      <w:pPr>
        <w:pStyle w:val="ListParagraph"/>
        <w:numPr>
          <w:ilvl w:val="1"/>
          <w:numId w:val="1"/>
        </w:numPr>
        <w:spacing w:after="40"/>
      </w:pPr>
      <w:r>
        <w:t xml:space="preserve">Walk through the incident timeline from detection to resolution</w:t>
      </w:r>
    </w:p>
    <w:p>
      <w:pPr>
        <w:pStyle w:val="ListParagraph"/>
        <w:numPr>
          <w:ilvl w:val="1"/>
          <w:numId w:val="1"/>
        </w:numPr>
        <w:spacing w:after="40"/>
      </w:pPr>
      <w:r>
        <w:t xml:space="preserve">Identify what worked well in the response process and what broke down</w:t>
      </w:r>
    </w:p>
    <w:p>
      <w:pPr>
        <w:pStyle w:val="ListParagraph"/>
        <w:numPr>
          <w:ilvl w:val="1"/>
          <w:numId w:val="1"/>
        </w:numPr>
        <w:spacing w:after="40"/>
      </w:pPr>
      <w:r>
        <w:t xml:space="preserve">Define specific remediation actions with owners and deadlines</w:t>
      </w:r>
    </w:p>
    <w:p>
      <w:pPr>
        <w:pStyle w:val="ListParagraph"/>
        <w:numPr>
          <w:ilvl w:val="1"/>
          <w:numId w:val="1"/>
        </w:numPr>
        <w:spacing w:after="40"/>
      </w:pPr>
      <w:r>
        <w:t xml:space="preserve">Publish the post-incident report and distribute to senior leadership and the board risk committee</w:t>
      </w:r>
    </w:p>
    <w:p>
      <w:pPr>
        <w:spacing w:after="100"/>
      </w:pPr>
      <w:r>
        <w:rPr>
          <w:i/>
          <w:iCs/>
          <w:color w:val="1F7A4D"/>
        </w:rPr>
        <w:t xml:space="preserve">Tip: Frame the post-incident review as a learning exercise, not a blame session. Teams that fear blame will hide incidents or delay reporting, which creates far more regulatory risk than the incidents themselves.</w:t>
      </w:r>
    </w:p>
    <w:p>
      <w:pPr>
        <w:pStyle w:val="Heading2"/>
        <w:spacing w:after="100" w:before="240"/>
      </w:pPr>
      <w:r>
        <w:t xml:space="preserve">Completion Checklist</w:t>
      </w:r>
    </w:p>
    <w:p>
      <w:pPr>
        <w:spacing w:after="40"/>
      </w:pPr>
      <w:r>
        <w:t xml:space="preserve">☐  Incident detected and ticket created within 15 minutes of detection</w:t>
      </w:r>
    </w:p>
    <w:p>
      <w:pPr>
        <w:spacing w:after="40"/>
      </w:pPr>
      <w:r>
        <w:t xml:space="preserve">☐  Severity classified and response team assembled per escalation matrix</w:t>
      </w:r>
    </w:p>
    <w:p>
      <w:pPr>
        <w:spacing w:after="40"/>
      </w:pPr>
      <w:r>
        <w:t xml:space="preserve">☐  Senior leadership notified within 30 minutes for Severity 1 incidents</w:t>
      </w:r>
    </w:p>
    <w:p>
      <w:pPr>
        <w:spacing w:after="40"/>
      </w:pPr>
      <w:r>
        <w:t xml:space="preserve">☐  Incident contained and spread prevented</w:t>
      </w:r>
    </w:p>
    <w:p>
      <w:pPr>
        <w:spacing w:after="40"/>
      </w:pPr>
      <w:r>
        <w:t xml:space="preserve">☐  Forensic evidence preserved before system changes</w:t>
      </w:r>
    </w:p>
    <w:p>
      <w:pPr>
        <w:spacing w:after="40"/>
      </w:pPr>
      <w:r>
        <w:t xml:space="preserve">☐  Regulatory notification requirements assessed with compliance officer</w:t>
      </w:r>
    </w:p>
    <w:p>
      <w:pPr>
        <w:spacing w:after="40"/>
      </w:pPr>
      <w:r>
        <w:t xml:space="preserve">☐  Root cause identified and documented in the incident ticket</w:t>
      </w:r>
    </w:p>
    <w:p>
      <w:pPr>
        <w:spacing w:after="40"/>
      </w:pPr>
      <w:r>
        <w:t xml:space="preserve">☐  Affected systems remediated and restored to normal operation</w:t>
      </w:r>
    </w:p>
    <w:p>
      <w:pPr>
        <w:spacing w:after="40"/>
      </w:pPr>
      <w:r>
        <w:t xml:space="preserve">☐  Transaction reconciliation completed for the incident window</w:t>
      </w:r>
    </w:p>
    <w:p>
      <w:pPr>
        <w:spacing w:after="40"/>
      </w:pPr>
      <w:r>
        <w:t xml:space="preserve">☐  Customer notifications sent per GLBA and state law requirements</w:t>
      </w:r>
    </w:p>
    <w:p>
      <w:pPr>
        <w:spacing w:after="40"/>
      </w:pPr>
      <w:r>
        <w:t xml:space="preserve">☐  SAR and regulatory filings submitted within mandated timeframes</w:t>
      </w:r>
    </w:p>
    <w:p>
      <w:pPr>
        <w:spacing w:after="40"/>
      </w:pPr>
      <w:r>
        <w:t xml:space="preserve">☐  Post-incident review completed within 5 business days</w:t>
      </w:r>
    </w:p>
    <w:p>
      <w:pPr>
        <w:spacing w:after="40"/>
      </w:pPr>
      <w:r>
        <w:t xml:space="preserve">☐  Remediation action items assigned with owners and deadlines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Mean time to detect (MTTD)</w:t>
            </w:r>
          </w:p>
        </w:tc>
        <w:tc>
          <w:tcPr>
            <w:tcMar>
              <w:top w:type="dxa" w:w="60"/>
              <w:left w:type="dxa" w:w="120"/>
              <w:bottom w:type="dxa" w:w="60"/>
              <w:right w:type="dxa" w:w="120"/>
            </w:tcMar>
          </w:tcPr>
          <w:p>
            <w:r>
              <w:rPr>
                <w:b w:val="false"/>
                <w:bCs w:val="false"/>
              </w:rPr>
              <w:t xml:space="preserve">Under 15 minutes for Severity 1 incidents</w:t>
            </w:r>
          </w:p>
        </w:tc>
      </w:tr>
      <w:tr>
        <w:trPr>
          <w:tblHeader w:val="false"/>
        </w:trPr>
        <w:tc>
          <w:tcPr>
            <w:tcMar>
              <w:top w:type="dxa" w:w="60"/>
              <w:left w:type="dxa" w:w="120"/>
              <w:bottom w:type="dxa" w:w="60"/>
              <w:right w:type="dxa" w:w="120"/>
            </w:tcMar>
          </w:tcPr>
          <w:p>
            <w:r>
              <w:rPr>
                <w:b w:val="false"/>
                <w:bCs w:val="false"/>
              </w:rPr>
              <w:t xml:space="preserve">Mean time to contain (MTTC)</w:t>
            </w:r>
          </w:p>
        </w:tc>
        <w:tc>
          <w:tcPr>
            <w:tcMar>
              <w:top w:type="dxa" w:w="60"/>
              <w:left w:type="dxa" w:w="120"/>
              <w:bottom w:type="dxa" w:w="60"/>
              <w:right w:type="dxa" w:w="120"/>
            </w:tcMar>
          </w:tcPr>
          <w:p>
            <w:r>
              <w:rPr>
                <w:b w:val="false"/>
                <w:bCs w:val="false"/>
              </w:rPr>
              <w:t xml:space="preserve">Under 1 hour for Severity 1 incidents</w:t>
            </w:r>
          </w:p>
        </w:tc>
      </w:tr>
      <w:tr>
        <w:trPr>
          <w:tblHeader w:val="false"/>
        </w:trPr>
        <w:tc>
          <w:tcPr>
            <w:tcMar>
              <w:top w:type="dxa" w:w="60"/>
              <w:left w:type="dxa" w:w="120"/>
              <w:bottom w:type="dxa" w:w="60"/>
              <w:right w:type="dxa" w:w="120"/>
            </w:tcMar>
          </w:tcPr>
          <w:p>
            <w:r>
              <w:rPr>
                <w:b w:val="false"/>
                <w:bCs w:val="false"/>
              </w:rPr>
              <w:t xml:space="preserve">Mean time to resolve (MTTR)</w:t>
            </w:r>
          </w:p>
        </w:tc>
        <w:tc>
          <w:tcPr>
            <w:tcMar>
              <w:top w:type="dxa" w:w="60"/>
              <w:left w:type="dxa" w:w="120"/>
              <w:bottom w:type="dxa" w:w="60"/>
              <w:right w:type="dxa" w:w="120"/>
            </w:tcMar>
          </w:tcPr>
          <w:p>
            <w:r>
              <w:rPr>
                <w:b w:val="false"/>
                <w:bCs w:val="false"/>
              </w:rPr>
              <w:t xml:space="preserve">Under 4 hours for Severity 1, under 24 hours for Severity 2</w:t>
            </w:r>
          </w:p>
        </w:tc>
      </w:tr>
      <w:tr>
        <w:trPr>
          <w:tblHeader w:val="false"/>
        </w:trPr>
        <w:tc>
          <w:tcPr>
            <w:tcMar>
              <w:top w:type="dxa" w:w="60"/>
              <w:left w:type="dxa" w:w="120"/>
              <w:bottom w:type="dxa" w:w="60"/>
              <w:right w:type="dxa" w:w="120"/>
            </w:tcMar>
          </w:tcPr>
          <w:p>
            <w:r>
              <w:rPr>
                <w:b w:val="false"/>
                <w:bCs w:val="false"/>
              </w:rPr>
              <w:t xml:space="preserve">Regulatory notification compliance rate</w:t>
            </w:r>
          </w:p>
        </w:tc>
        <w:tc>
          <w:tcPr>
            <w:tcMar>
              <w:top w:type="dxa" w:w="60"/>
              <w:left w:type="dxa" w:w="120"/>
              <w:bottom w:type="dxa" w:w="60"/>
              <w:right w:type="dxa" w:w="120"/>
            </w:tcMar>
          </w:tcPr>
          <w:p>
            <w:r>
              <w:rPr>
                <w:b w:val="false"/>
                <w:bCs w:val="false"/>
              </w:rPr>
              <w:t xml:space="preserve">100% of required notifications filed within mandated timeframes</w:t>
            </w:r>
          </w:p>
        </w:tc>
      </w:tr>
      <w:tr>
        <w:trPr>
          <w:tblHeader w:val="false"/>
        </w:trPr>
        <w:tc>
          <w:tcPr>
            <w:tcMar>
              <w:top w:type="dxa" w:w="60"/>
              <w:left w:type="dxa" w:w="120"/>
              <w:bottom w:type="dxa" w:w="60"/>
              <w:right w:type="dxa" w:w="120"/>
            </w:tcMar>
          </w:tcPr>
          <w:p>
            <w:r>
              <w:rPr>
                <w:b w:val="false"/>
                <w:bCs w:val="false"/>
              </w:rPr>
              <w:t xml:space="preserve">Post-incident review completion rate</w:t>
            </w:r>
          </w:p>
        </w:tc>
        <w:tc>
          <w:tcPr>
            <w:tcMar>
              <w:top w:type="dxa" w:w="60"/>
              <w:left w:type="dxa" w:w="120"/>
              <w:bottom w:type="dxa" w:w="60"/>
              <w:right w:type="dxa" w:w="120"/>
            </w:tcMar>
          </w:tcPr>
          <w:p>
            <w:r>
              <w:rPr>
                <w:b w:val="false"/>
                <w:bCs w:val="false"/>
              </w:rPr>
              <w:t xml:space="preserve">100% of Severity 1 and 2 incidents reviewed within 5 business days</w:t>
            </w:r>
          </w:p>
        </w:tc>
      </w:tr>
    </w:tbl>
    <w:p>
      <w:pPr>
        <w:pStyle w:val="Heading2"/>
        <w:spacing w:after="100" w:before="240"/>
      </w:pPr>
      <w:r>
        <w:t xml:space="preserve">Revision Schedule</w:t>
      </w:r>
    </w:p>
    <w:p>
      <w:pPr>
        <w:spacing w:after="100"/>
      </w:pPr>
      <w:r>
        <w:t xml:space="preserve">Quarterly, or immediately after any Severity 1 incident, regulatory examination finding related to incident response, or change in notification requirements.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Incident Response for Financial Services</dc:title>
  <dc:creator>Glyde</dc:creator>
  <dc:description>Free incident response SOP template for financial services. Covers detection, triage, escalation, regulatory notification, recovery, and post-incident review.</dc:description>
  <cp:lastModifiedBy>Un-named</cp:lastModifiedBy>
  <cp:revision>1</cp:revision>
  <dcterms:created xsi:type="dcterms:W3CDTF">2026-07-22T08:34:35.736Z</dcterms:created>
  <dcterms:modified xsi:type="dcterms:W3CDTF">2026-07-22T08:34:35.736Z</dcterms:modified>
</cp:coreProperties>
</file>

<file path=docProps/custom.xml><?xml version="1.0" encoding="utf-8"?>
<Properties xmlns="http://schemas.openxmlformats.org/officeDocument/2006/custom-properties" xmlns:vt="http://schemas.openxmlformats.org/officeDocument/2006/docPropsVTypes"/>
</file>