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Month-End Close SOP Template for Financial Services Teams</w:t>
      </w:r>
    </w:p>
    <w:p>
      <w:pPr>
        <w:spacing w:after="200"/>
      </w:pPr>
      <w:r>
        <w:rPr>
          <w:i/>
          <w:iCs/>
          <w:color w:val="6B7280"/>
        </w:rPr>
        <w:t xml:space="preserve">Free month-end close SOP template for financial services. Covers reconciliation, journal entries, accruals, regulatory reporting, and SOX control documentation.</w:t>
      </w:r>
    </w:p>
    <w:p>
      <w:pPr>
        <w:pStyle w:val="Heading2"/>
        <w:spacing w:after="100" w:before="240"/>
      </w:pPr>
      <w:r>
        <w:t xml:space="preserve">Purpose</w:t>
      </w:r>
    </w:p>
    <w:p>
      <w:pPr>
        <w:spacing w:after="100"/>
      </w:pPr>
      <w:r>
        <w:t xml:space="preserve">Define the step-by-step process for closing the books at the end of each accounting period at a financial services organization. This SOP ensures that all transactions are recorded, accounts are reconciled, accruals are posted, regulatory reports are generated, and the close is completed within the target timeline. It also produces the audit trail and control documentation required by SOX, regulators, and external auditors.</w:t>
      </w:r>
    </w:p>
    <w:p>
      <w:pPr>
        <w:pStyle w:val="Heading2"/>
        <w:spacing w:after="100" w:before="240"/>
      </w:pPr>
      <w:r>
        <w:t xml:space="preserve">Scope</w:t>
      </w:r>
    </w:p>
    <w:p>
      <w:pPr>
        <w:spacing w:after="100"/>
      </w:pPr>
      <w:r>
        <w:t xml:space="preserve">Covers the monthly financial close process for banks, credit unions, investment firms, and fintech companies. Includes sub-ledger reconciliation, journal entries, accruals and deferrals, intercompany eliminations, loan loss provisioning, regulatory report preparation (Call Reports, FOCUS Reports), and management reporting. Does not cover annual audit preparation or tax filing, which are separate procedures.</w:t>
      </w:r>
    </w:p>
    <w:p>
      <w:pPr>
        <w:pStyle w:val="Heading2"/>
        <w:spacing w:after="100" w:before="240"/>
      </w:pPr>
      <w:r>
        <w:t xml:space="preserve">Prerequisites</w:t>
      </w:r>
    </w:p>
    <w:p>
      <w:pPr>
        <w:pStyle w:val="ListParagraph"/>
        <w:numPr>
          <w:ilvl w:val="0"/>
          <w:numId w:val="1"/>
        </w:numPr>
        <w:spacing w:after="40"/>
      </w:pPr>
      <w:r>
        <w:t xml:space="preserve">General ledger system configured and current (FIS, Fiserv, Jack Henry, or Temenos GL module)</w:t>
      </w:r>
    </w:p>
    <w:p>
      <w:pPr>
        <w:pStyle w:val="ListParagraph"/>
        <w:numPr>
          <w:ilvl w:val="0"/>
          <w:numId w:val="1"/>
        </w:numPr>
        <w:spacing w:after="40"/>
      </w:pPr>
      <w:r>
        <w:t xml:space="preserve">Sub-ledger feeds from loan servicing, deposit operations, and trading systems verified as operational</w:t>
      </w:r>
    </w:p>
    <w:p>
      <w:pPr>
        <w:pStyle w:val="ListParagraph"/>
        <w:numPr>
          <w:ilvl w:val="0"/>
          <w:numId w:val="1"/>
        </w:numPr>
        <w:spacing w:after="40"/>
      </w:pPr>
      <w:r>
        <w:t xml:space="preserve">Close calendar published with task assignments and deadlines for the current period</w:t>
      </w:r>
    </w:p>
    <w:p>
      <w:pPr>
        <w:pStyle w:val="ListParagraph"/>
        <w:numPr>
          <w:ilvl w:val="0"/>
          <w:numId w:val="1"/>
        </w:numPr>
        <w:spacing w:after="40"/>
      </w:pPr>
      <w:r>
        <w:t xml:space="preserve">Prior period reconciling items cleared or carried forward with documented justification</w:t>
      </w:r>
    </w:p>
    <w:p>
      <w:pPr>
        <w:pStyle w:val="ListParagraph"/>
        <w:numPr>
          <w:ilvl w:val="0"/>
          <w:numId w:val="1"/>
        </w:numPr>
        <w:spacing w:after="40"/>
      </w:pPr>
      <w:r>
        <w:t xml:space="preserve">Workiva or equivalent tool configured for regulatory report generation</w:t>
      </w:r>
    </w:p>
    <w:p>
      <w:pPr>
        <w:pStyle w:val="Heading2"/>
        <w:spacing w:after="100" w:before="240"/>
      </w:pPr>
      <w:r>
        <w:t xml:space="preserve">Roles &amp; Responsibilities</w:t>
      </w:r>
    </w:p>
    <w:p>
      <w:pPr>
        <w:spacing w:after="40" w:before="120"/>
      </w:pPr>
      <w:r>
        <w:rPr>
          <w:b/>
          <w:bCs/>
        </w:rPr>
        <w:t xml:space="preserve">Controller</w:t>
      </w:r>
    </w:p>
    <w:p>
      <w:pPr>
        <w:pStyle w:val="ListParagraph"/>
        <w:numPr>
          <w:ilvl w:val="0"/>
          <w:numId w:val="1"/>
        </w:numPr>
        <w:spacing w:after="40"/>
      </w:pPr>
      <w:r>
        <w:t xml:space="preserve">Own the close calendar and ensure all tasks are completed by deadline</w:t>
      </w:r>
    </w:p>
    <w:p>
      <w:pPr>
        <w:pStyle w:val="ListParagraph"/>
        <w:numPr>
          <w:ilvl w:val="0"/>
          <w:numId w:val="1"/>
        </w:numPr>
        <w:spacing w:after="40"/>
      </w:pPr>
      <w:r>
        <w:t xml:space="preserve">Review and approve all material journal entries and account reconciliations</w:t>
      </w:r>
    </w:p>
    <w:p>
      <w:pPr>
        <w:pStyle w:val="ListParagraph"/>
        <w:numPr>
          <w:ilvl w:val="0"/>
          <w:numId w:val="1"/>
        </w:numPr>
        <w:spacing w:after="40"/>
      </w:pPr>
      <w:r>
        <w:t xml:space="preserve">Sign off on the final financial statements and regulatory reports</w:t>
      </w:r>
    </w:p>
    <w:p>
      <w:pPr>
        <w:spacing w:after="40" w:before="120"/>
      </w:pPr>
      <w:r>
        <w:rPr>
          <w:b/>
          <w:bCs/>
        </w:rPr>
        <w:t xml:space="preserve">Senior Accountant</w:t>
      </w:r>
    </w:p>
    <w:p>
      <w:pPr>
        <w:pStyle w:val="ListParagraph"/>
        <w:numPr>
          <w:ilvl w:val="0"/>
          <w:numId w:val="1"/>
        </w:numPr>
        <w:spacing w:after="40"/>
      </w:pPr>
      <w:r>
        <w:t xml:space="preserve">Prepare account reconciliations for assigned balance sheet accounts</w:t>
      </w:r>
    </w:p>
    <w:p>
      <w:pPr>
        <w:pStyle w:val="ListParagraph"/>
        <w:numPr>
          <w:ilvl w:val="0"/>
          <w:numId w:val="1"/>
        </w:numPr>
        <w:spacing w:after="40"/>
      </w:pPr>
      <w:r>
        <w:t xml:space="preserve">Post journal entries for accruals, deferrals, and reclassifications</w:t>
      </w:r>
    </w:p>
    <w:p>
      <w:pPr>
        <w:pStyle w:val="ListParagraph"/>
        <w:numPr>
          <w:ilvl w:val="0"/>
          <w:numId w:val="1"/>
        </w:numPr>
        <w:spacing w:after="40"/>
      </w:pPr>
      <w:r>
        <w:t xml:space="preserve">Investigate and resolve reconciling items within the close period</w:t>
      </w:r>
    </w:p>
    <w:p>
      <w:pPr>
        <w:spacing w:after="40" w:before="120"/>
      </w:pPr>
      <w:r>
        <w:rPr>
          <w:b/>
          <w:bCs/>
        </w:rPr>
        <w:t xml:space="preserve">Financial Reporting Analyst</w:t>
      </w:r>
    </w:p>
    <w:p>
      <w:pPr>
        <w:pStyle w:val="ListParagraph"/>
        <w:numPr>
          <w:ilvl w:val="0"/>
          <w:numId w:val="1"/>
        </w:numPr>
        <w:spacing w:after="40"/>
      </w:pPr>
      <w:r>
        <w:t xml:space="preserve">Generate regulatory reports (Call Reports, FR Y-9C, FOCUS Reports) from the GL data</w:t>
      </w:r>
    </w:p>
    <w:p>
      <w:pPr>
        <w:pStyle w:val="ListParagraph"/>
        <w:numPr>
          <w:ilvl w:val="0"/>
          <w:numId w:val="1"/>
        </w:numPr>
        <w:spacing w:after="40"/>
      </w:pPr>
      <w:r>
        <w:t xml:space="preserve">Prepare management financial reports and variance analysis</w:t>
      </w:r>
    </w:p>
    <w:p>
      <w:pPr>
        <w:pStyle w:val="ListParagraph"/>
        <w:numPr>
          <w:ilvl w:val="0"/>
          <w:numId w:val="1"/>
        </w:numPr>
        <w:spacing w:after="40"/>
      </w:pPr>
      <w:r>
        <w:t xml:space="preserve">Validate report accuracy against the general ledger before submission</w:t>
      </w:r>
    </w:p>
    <w:p>
      <w:pPr>
        <w:spacing w:after="40" w:before="120"/>
      </w:pPr>
      <w:r>
        <w:rPr>
          <w:b/>
          <w:bCs/>
        </w:rPr>
        <w:t xml:space="preserve">Treasury / ALM Analyst</w:t>
      </w:r>
    </w:p>
    <w:p>
      <w:pPr>
        <w:pStyle w:val="ListParagraph"/>
        <w:numPr>
          <w:ilvl w:val="0"/>
          <w:numId w:val="1"/>
        </w:numPr>
        <w:spacing w:after="40"/>
      </w:pPr>
      <w:r>
        <w:t xml:space="preserve">Provide investment portfolio valuations and mark-to-market entries</w:t>
      </w:r>
    </w:p>
    <w:p>
      <w:pPr>
        <w:pStyle w:val="ListParagraph"/>
        <w:numPr>
          <w:ilvl w:val="0"/>
          <w:numId w:val="1"/>
        </w:numPr>
        <w:spacing w:after="40"/>
      </w:pPr>
      <w:r>
        <w:t xml:space="preserve">Calculate interest rate risk metrics for the period</w:t>
      </w:r>
    </w:p>
    <w:p>
      <w:pPr>
        <w:pStyle w:val="ListParagraph"/>
        <w:numPr>
          <w:ilvl w:val="0"/>
          <w:numId w:val="1"/>
        </w:numPr>
        <w:spacing w:after="40"/>
      </w:pPr>
      <w:r>
        <w:t xml:space="preserve">Supply data for the allowance for loan losses calculation</w:t>
      </w:r>
    </w:p>
    <w:p>
      <w:pPr>
        <w:pStyle w:val="Heading2"/>
        <w:spacing w:after="100" w:before="240"/>
      </w:pPr>
      <w:r>
        <w:t xml:space="preserve">Procedure</w:t>
      </w:r>
    </w:p>
    <w:p>
      <w:pPr>
        <w:pStyle w:val="Heading3"/>
        <w:spacing w:after="40" w:before="160"/>
      </w:pPr>
      <w:r>
        <w:t xml:space="preserve">Step 1: Distribute the close calendar and task assignments</w:t>
      </w:r>
    </w:p>
    <w:p>
      <w:pPr>
        <w:spacing w:after="100"/>
      </w:pPr>
      <w:r>
        <w:t xml:space="preserve">On the first business day after month-end, distribute the close calendar to all team members with their assigned tasks, deadlines, and dependencies. The close calendar is the project plan for the month-end close — every task has an owner, a due date, and a predecessor. Missed deadlines cascade and push the entire close back.</w:t>
      </w:r>
    </w:p>
    <w:p>
      <w:pPr>
        <w:pStyle w:val="ListParagraph"/>
        <w:numPr>
          <w:ilvl w:val="1"/>
          <w:numId w:val="1"/>
        </w:numPr>
        <w:spacing w:after="40"/>
      </w:pPr>
      <w:r>
        <w:t xml:space="preserve">Update the close calendar template with dates for the current period</w:t>
      </w:r>
    </w:p>
    <w:p>
      <w:pPr>
        <w:pStyle w:val="ListParagraph"/>
        <w:numPr>
          <w:ilvl w:val="1"/>
          <w:numId w:val="1"/>
        </w:numPr>
        <w:spacing w:after="40"/>
      </w:pPr>
      <w:r>
        <w:t xml:space="preserve">Assign each reconciliation, journal entry, and report to a specific team member</w:t>
      </w:r>
    </w:p>
    <w:p>
      <w:pPr>
        <w:pStyle w:val="ListParagraph"/>
        <w:numPr>
          <w:ilvl w:val="1"/>
          <w:numId w:val="1"/>
        </w:numPr>
        <w:spacing w:after="40"/>
      </w:pPr>
      <w:r>
        <w:t xml:space="preserve">Identify any unusual items this period (one-time transactions, regulatory changes, new products)</w:t>
      </w:r>
    </w:p>
    <w:p>
      <w:pPr>
        <w:pStyle w:val="ListParagraph"/>
        <w:numPr>
          <w:ilvl w:val="1"/>
          <w:numId w:val="1"/>
        </w:numPr>
        <w:spacing w:after="40"/>
      </w:pPr>
      <w:r>
        <w:t xml:space="preserve">Distribute the calendar via email and post in the shared project management tool</w:t>
      </w:r>
    </w:p>
    <w:p>
      <w:pPr>
        <w:spacing w:after="100"/>
      </w:pPr>
      <w:r>
        <w:rPr>
          <w:i/>
          <w:iCs/>
          <w:color w:val="1F7A4D"/>
        </w:rPr>
        <w:t xml:space="preserve">Tip: Track close task completion in real time using a shared dashboard. When someone falls behind, the controller can reassign or escalate before the delay affects downstream tasks.</w:t>
      </w:r>
    </w:p>
    <w:p>
      <w:pPr>
        <w:pStyle w:val="Heading3"/>
        <w:spacing w:after="40" w:before="160"/>
      </w:pPr>
      <w:r>
        <w:t xml:space="preserve">Step 2: Verify sub-ledger feeds and transaction cutoff</w:t>
      </w:r>
    </w:p>
    <w:p>
      <w:pPr>
        <w:spacing w:after="100"/>
      </w:pPr>
      <w:r>
        <w:t xml:space="preserve">Confirm that all sub-ledger systems have completed their end-of-period processing and that transaction feeds to the general ledger are balanced. Verify the transaction cutoff — all transactions dated in the closing period are recorded, and no transactions from the next period are included. In banking, this includes loan originations, deposit transactions, wire transfers, and trading activity.</w:t>
      </w:r>
    </w:p>
    <w:p>
      <w:pPr>
        <w:pStyle w:val="ListParagraph"/>
        <w:numPr>
          <w:ilvl w:val="1"/>
          <w:numId w:val="1"/>
        </w:numPr>
        <w:spacing w:after="40"/>
      </w:pPr>
      <w:r>
        <w:t xml:space="preserve">Verify the core banking system (FIS, Fiserv, Jack Henry) has completed end-of-day processing for the last day of the month</w:t>
      </w:r>
    </w:p>
    <w:p>
      <w:pPr>
        <w:pStyle w:val="ListParagraph"/>
        <w:numPr>
          <w:ilvl w:val="1"/>
          <w:numId w:val="1"/>
        </w:numPr>
        <w:spacing w:after="40"/>
      </w:pPr>
      <w:r>
        <w:t xml:space="preserve">Confirm deposit and loan sub-ledger totals tie to the GL control accounts</w:t>
      </w:r>
    </w:p>
    <w:p>
      <w:pPr>
        <w:pStyle w:val="ListParagraph"/>
        <w:numPr>
          <w:ilvl w:val="1"/>
          <w:numId w:val="1"/>
        </w:numPr>
        <w:spacing w:after="40"/>
      </w:pPr>
      <w:r>
        <w:t xml:space="preserve">Verify the trading system and investment accounting feeds are balanced</w:t>
      </w:r>
    </w:p>
    <w:p>
      <w:pPr>
        <w:pStyle w:val="ListParagraph"/>
        <w:numPr>
          <w:ilvl w:val="1"/>
          <w:numId w:val="1"/>
        </w:numPr>
        <w:spacing w:after="40"/>
      </w:pPr>
      <w:r>
        <w:t xml:space="preserve">Check that no next-period transactions are posted to the closing month</w:t>
      </w:r>
    </w:p>
    <w:p>
      <w:pPr>
        <w:spacing w:after="100"/>
      </w:pPr>
      <w:r>
        <w:rPr>
          <w:i/>
          <w:iCs/>
          <w:color w:val="B45309"/>
        </w:rPr>
        <w:t xml:space="preserve">Warning: Transaction cutoff errors are one of the most common findings in financial services audits. If even a single day's wire transfers or loan fundings are posted to the wrong period, it affects regulatory capital calculations and Call Report accuracy.</w:t>
      </w:r>
    </w:p>
    <w:p>
      <w:pPr>
        <w:pStyle w:val="Heading3"/>
        <w:spacing w:after="40" w:before="160"/>
      </w:pPr>
      <w:r>
        <w:t xml:space="preserve">Step 3: Reconcile all balance sheet accounts</w:t>
      </w:r>
    </w:p>
    <w:p>
      <w:pPr>
        <w:spacing w:after="100"/>
      </w:pPr>
      <w:r>
        <w:t xml:space="preserve">Prepare reconciliations for every balance sheet account. Each reconciliation must tie the GL balance to an independent source — the bank statement, sub-ledger detail, third-party confirmation, or supporting schedule. Investigate and resolve all reconciling items. Items older than 90 days require management approval to carry forward.</w:t>
      </w:r>
    </w:p>
    <w:p>
      <w:pPr>
        <w:pStyle w:val="ListParagraph"/>
        <w:numPr>
          <w:ilvl w:val="1"/>
          <w:numId w:val="1"/>
        </w:numPr>
        <w:spacing w:after="40"/>
      </w:pPr>
      <w:r>
        <w:t xml:space="preserve">Reconcile cash and due-from-bank accounts to correspondent bank statements</w:t>
      </w:r>
    </w:p>
    <w:p>
      <w:pPr>
        <w:pStyle w:val="ListParagraph"/>
        <w:numPr>
          <w:ilvl w:val="1"/>
          <w:numId w:val="1"/>
        </w:numPr>
        <w:spacing w:after="40"/>
      </w:pPr>
      <w:r>
        <w:t xml:space="preserve">Reconcile the investment portfolio to the custodian statement and Bloomberg valuations</w:t>
      </w:r>
    </w:p>
    <w:p>
      <w:pPr>
        <w:pStyle w:val="ListParagraph"/>
        <w:numPr>
          <w:ilvl w:val="1"/>
          <w:numId w:val="1"/>
        </w:numPr>
        <w:spacing w:after="40"/>
      </w:pPr>
      <w:r>
        <w:t xml:space="preserve">Reconcile the loan portfolio sub-ledger to the GL control account</w:t>
      </w:r>
    </w:p>
    <w:p>
      <w:pPr>
        <w:pStyle w:val="ListParagraph"/>
        <w:numPr>
          <w:ilvl w:val="1"/>
          <w:numId w:val="1"/>
        </w:numPr>
        <w:spacing w:after="40"/>
      </w:pPr>
      <w:r>
        <w:t xml:space="preserve">Reconcile deposit accounts (DDA, savings, CD) sub-ledger to GL</w:t>
      </w:r>
    </w:p>
    <w:p>
      <w:pPr>
        <w:pStyle w:val="ListParagraph"/>
        <w:numPr>
          <w:ilvl w:val="1"/>
          <w:numId w:val="1"/>
        </w:numPr>
        <w:spacing w:after="40"/>
      </w:pPr>
      <w:r>
        <w:t xml:space="preserve">Reconcile all intercompany accounts and eliminate differences</w:t>
      </w:r>
    </w:p>
    <w:p>
      <w:pPr>
        <w:pStyle w:val="ListParagraph"/>
        <w:numPr>
          <w:ilvl w:val="1"/>
          <w:numId w:val="1"/>
        </w:numPr>
        <w:spacing w:after="40"/>
      </w:pPr>
      <w:r>
        <w:t xml:space="preserve">Document and investigate all reconciling items over the materiality threshold</w:t>
      </w:r>
    </w:p>
    <w:p>
      <w:pPr>
        <w:pStyle w:val="Heading3"/>
        <w:spacing w:after="40" w:before="160"/>
      </w:pPr>
      <w:r>
        <w:t xml:space="preserve">Step 4: Post accruals, deferrals, and adjusting entries</w:t>
      </w:r>
    </w:p>
    <w:p>
      <w:pPr>
        <w:spacing w:after="100"/>
      </w:pPr>
      <w:r>
        <w:t xml:space="preserve">Record all period-end accruals and deferrals. In financial services, this includes loan interest accruals, deposit interest accruals, fee income deferrals, prepaid expense amortization, and mark-to-market adjustments on trading positions. Each journal entry must include a description, supporting calculation, and approver.</w:t>
      </w:r>
    </w:p>
    <w:p>
      <w:pPr>
        <w:pStyle w:val="ListParagraph"/>
        <w:numPr>
          <w:ilvl w:val="1"/>
          <w:numId w:val="1"/>
        </w:numPr>
        <w:spacing w:after="40"/>
      </w:pPr>
      <w:r>
        <w:t xml:space="preserve">Post loan interest income accruals based on the loan servicing system output</w:t>
      </w:r>
    </w:p>
    <w:p>
      <w:pPr>
        <w:pStyle w:val="ListParagraph"/>
        <w:numPr>
          <w:ilvl w:val="1"/>
          <w:numId w:val="1"/>
        </w:numPr>
        <w:spacing w:after="40"/>
      </w:pPr>
      <w:r>
        <w:t xml:space="preserve">Post deposit interest expense accruals from the deposit operations system</w:t>
      </w:r>
    </w:p>
    <w:p>
      <w:pPr>
        <w:pStyle w:val="ListParagraph"/>
        <w:numPr>
          <w:ilvl w:val="1"/>
          <w:numId w:val="1"/>
        </w:numPr>
        <w:spacing w:after="40"/>
      </w:pPr>
      <w:r>
        <w:t xml:space="preserve">Record fee income deferrals for fees earned over multiple periods</w:t>
      </w:r>
    </w:p>
    <w:p>
      <w:pPr>
        <w:pStyle w:val="ListParagraph"/>
        <w:numPr>
          <w:ilvl w:val="1"/>
          <w:numId w:val="1"/>
        </w:numPr>
        <w:spacing w:after="40"/>
      </w:pPr>
      <w:r>
        <w:t xml:space="preserve">Post amortization entries for prepaid expenses and intangible assets</w:t>
      </w:r>
    </w:p>
    <w:p>
      <w:pPr>
        <w:pStyle w:val="ListParagraph"/>
        <w:numPr>
          <w:ilvl w:val="1"/>
          <w:numId w:val="1"/>
        </w:numPr>
        <w:spacing w:after="40"/>
      </w:pPr>
      <w:r>
        <w:t xml:space="preserve">Record mark-to-market adjustments for the trading and available-for-sale portfolios</w:t>
      </w:r>
    </w:p>
    <w:p>
      <w:pPr>
        <w:pStyle w:val="Heading3"/>
        <w:spacing w:after="40" w:before="160"/>
      </w:pPr>
      <w:r>
        <w:t xml:space="preserve">Step 5: Calculate and record the allowance for credit losses</w:t>
      </w:r>
    </w:p>
    <w:p>
      <w:pPr>
        <w:spacing w:after="100"/>
      </w:pPr>
      <w:r>
        <w:t xml:space="preserve">Calculate the allowance for credit losses (ACL) under the Current Expected Credit Loss (CECL) methodology. This is one of the most scrutinized estimates in financial services — it directly affects regulatory capital ratios, earnings, and examiner confidence in your institution's risk management. The calculation must be well-documented and supported by the credit risk team's analysis.</w:t>
      </w:r>
    </w:p>
    <w:p>
      <w:pPr>
        <w:pStyle w:val="ListParagraph"/>
        <w:numPr>
          <w:ilvl w:val="1"/>
          <w:numId w:val="1"/>
        </w:numPr>
        <w:spacing w:after="40"/>
      </w:pPr>
      <w:r>
        <w:t xml:space="preserve">Receive the ACL calculation from the credit risk team with methodology documentation</w:t>
      </w:r>
    </w:p>
    <w:p>
      <w:pPr>
        <w:pStyle w:val="ListParagraph"/>
        <w:numPr>
          <w:ilvl w:val="1"/>
          <w:numId w:val="1"/>
        </w:numPr>
        <w:spacing w:after="40"/>
      </w:pPr>
      <w:r>
        <w:t xml:space="preserve">Review the ACL against the prior period and investigate significant changes</w:t>
      </w:r>
    </w:p>
    <w:p>
      <w:pPr>
        <w:pStyle w:val="ListParagraph"/>
        <w:numPr>
          <w:ilvl w:val="1"/>
          <w:numId w:val="1"/>
        </w:numPr>
        <w:spacing w:after="40"/>
      </w:pPr>
      <w:r>
        <w:t xml:space="preserve">Post the provision for credit losses journal entry</w:t>
      </w:r>
    </w:p>
    <w:p>
      <w:pPr>
        <w:pStyle w:val="ListParagraph"/>
        <w:numPr>
          <w:ilvl w:val="1"/>
          <w:numId w:val="1"/>
        </w:numPr>
        <w:spacing w:after="40"/>
      </w:pPr>
      <w:r>
        <w:t xml:space="preserve">Document the key assumptions and judgments underlying the estimate</w:t>
      </w:r>
    </w:p>
    <w:p>
      <w:pPr>
        <w:pStyle w:val="ListParagraph"/>
        <w:numPr>
          <w:ilvl w:val="1"/>
          <w:numId w:val="1"/>
        </w:numPr>
        <w:spacing w:after="40"/>
      </w:pPr>
      <w:r>
        <w:t xml:space="preserve">Archive the supporting schedules for SOX and regulatory examination review</w:t>
      </w:r>
    </w:p>
    <w:p>
      <w:pPr>
        <w:spacing w:after="100"/>
      </w:pPr>
      <w:r>
        <w:rPr>
          <w:i/>
          <w:iCs/>
          <w:color w:val="B45309"/>
        </w:rPr>
        <w:t xml:space="preserve">Warning: CECL estimates are heavily tested by both external auditors and regulators. Ensure the credit risk team provides written documentation of their methodology, key assumptions, and qualitative adjustments. Unsupported adjustments are a frequent examination finding.</w:t>
      </w:r>
    </w:p>
    <w:p>
      <w:pPr>
        <w:pStyle w:val="Heading3"/>
        <w:spacing w:after="40" w:before="160"/>
      </w:pPr>
      <w:r>
        <w:t xml:space="preserve">Step 6: Review and approve all journal entries</w:t>
      </w:r>
    </w:p>
    <w:p>
      <w:pPr>
        <w:spacing w:after="100"/>
      </w:pPr>
      <w:r>
        <w:t xml:space="preserve">The controller reviews all material journal entries for accuracy, completeness, and proper supporting documentation. Every entry above the materiality threshold requires controller approval before the close is finalized. The review should focus on unusual or non-recurring entries, estimate changes, and entries that affect regulatory capital.</w:t>
      </w:r>
    </w:p>
    <w:p>
      <w:pPr>
        <w:pStyle w:val="ListParagraph"/>
        <w:numPr>
          <w:ilvl w:val="1"/>
          <w:numId w:val="1"/>
        </w:numPr>
        <w:spacing w:after="40"/>
      </w:pPr>
      <w:r>
        <w:t xml:space="preserve">Review all journal entries above the materiality threshold with supporting documentation</w:t>
      </w:r>
    </w:p>
    <w:p>
      <w:pPr>
        <w:pStyle w:val="ListParagraph"/>
        <w:numPr>
          <w:ilvl w:val="1"/>
          <w:numId w:val="1"/>
        </w:numPr>
        <w:spacing w:after="40"/>
      </w:pPr>
      <w:r>
        <w:t xml:space="preserve">Verify that entries affecting SOX key controls have dual approval</w:t>
      </w:r>
    </w:p>
    <w:p>
      <w:pPr>
        <w:pStyle w:val="ListParagraph"/>
        <w:numPr>
          <w:ilvl w:val="1"/>
          <w:numId w:val="1"/>
        </w:numPr>
        <w:spacing w:after="40"/>
      </w:pPr>
      <w:r>
        <w:t xml:space="preserve">Check for unusual or non-recurring entries and confirm they are properly disclosed</w:t>
      </w:r>
    </w:p>
    <w:p>
      <w:pPr>
        <w:pStyle w:val="ListParagraph"/>
        <w:numPr>
          <w:ilvl w:val="1"/>
          <w:numId w:val="1"/>
        </w:numPr>
        <w:spacing w:after="40"/>
      </w:pPr>
      <w:r>
        <w:t xml:space="preserve">Approve or request corrections for each entry in the close management tool</w:t>
      </w:r>
    </w:p>
    <w:p>
      <w:pPr>
        <w:pStyle w:val="Heading3"/>
        <w:spacing w:after="40" w:before="160"/>
      </w:pPr>
      <w:r>
        <w:t xml:space="preserve">Step 7: Generate trial balance and financial statements</w:t>
      </w:r>
    </w:p>
    <w:p>
      <w:pPr>
        <w:spacing w:after="100"/>
      </w:pPr>
      <w:r>
        <w:t xml:space="preserve">Once all entries are posted and approved, generate the adjusted trial balance and draft financial statements. Compare the trial balance to the prior period and budget to identify any unexpected variances. Investigate variances above the analysis threshold and document explanations.</w:t>
      </w:r>
    </w:p>
    <w:p>
      <w:pPr>
        <w:pStyle w:val="ListParagraph"/>
        <w:numPr>
          <w:ilvl w:val="1"/>
          <w:numId w:val="1"/>
        </w:numPr>
        <w:spacing w:after="40"/>
      </w:pPr>
      <w:r>
        <w:t xml:space="preserve">Generate the adjusted trial balance from the GL system</w:t>
      </w:r>
    </w:p>
    <w:p>
      <w:pPr>
        <w:pStyle w:val="ListParagraph"/>
        <w:numPr>
          <w:ilvl w:val="1"/>
          <w:numId w:val="1"/>
        </w:numPr>
        <w:spacing w:after="40"/>
      </w:pPr>
      <w:r>
        <w:t xml:space="preserve">Prepare the income statement, balance sheet, and cash flow statement</w:t>
      </w:r>
    </w:p>
    <w:p>
      <w:pPr>
        <w:pStyle w:val="ListParagraph"/>
        <w:numPr>
          <w:ilvl w:val="1"/>
          <w:numId w:val="1"/>
        </w:numPr>
        <w:spacing w:after="40"/>
      </w:pPr>
      <w:r>
        <w:t xml:space="preserve">Run variance analysis against prior period and budget</w:t>
      </w:r>
    </w:p>
    <w:p>
      <w:pPr>
        <w:pStyle w:val="ListParagraph"/>
        <w:numPr>
          <w:ilvl w:val="1"/>
          <w:numId w:val="1"/>
        </w:numPr>
        <w:spacing w:after="40"/>
      </w:pPr>
      <w:r>
        <w:t xml:space="preserve">Investigate and document all material variances</w:t>
      </w:r>
    </w:p>
    <w:p>
      <w:pPr>
        <w:pStyle w:val="ListParagraph"/>
        <w:numPr>
          <w:ilvl w:val="1"/>
          <w:numId w:val="1"/>
        </w:numPr>
        <w:spacing w:after="40"/>
      </w:pPr>
      <w:r>
        <w:t xml:space="preserve">Calculate key financial ratios (NIM, efficiency ratio, ROA, ROE)</w:t>
      </w:r>
    </w:p>
    <w:p>
      <w:pPr>
        <w:pStyle w:val="Heading3"/>
        <w:spacing w:after="40" w:before="160"/>
      </w:pPr>
      <w:r>
        <w:t xml:space="preserve">Step 8: Prepare regulatory reports</w:t>
      </w:r>
    </w:p>
    <w:p>
      <w:pPr>
        <w:spacing w:after="100"/>
      </w:pPr>
      <w:r>
        <w:t xml:space="preserve">Generate the required regulatory reports from the finalized GL data. For banks and credit unions, this includes the FFIEC Call Report (FFIEC 031/041/051) due 30 days after quarter-end, and TFR for thrifts. For broker-dealers, this includes the FOCUS Report. Use Workiva or your regulatory reporting tool to populate the reports and run validation checks.</w:t>
      </w:r>
    </w:p>
    <w:p>
      <w:pPr>
        <w:pStyle w:val="ListParagraph"/>
        <w:numPr>
          <w:ilvl w:val="1"/>
          <w:numId w:val="1"/>
        </w:numPr>
        <w:spacing w:after="40"/>
      </w:pPr>
      <w:r>
        <w:t xml:space="preserve">Populate the Call Report schedules from GL data using Workiva or equivalent</w:t>
      </w:r>
    </w:p>
    <w:p>
      <w:pPr>
        <w:pStyle w:val="ListParagraph"/>
        <w:numPr>
          <w:ilvl w:val="1"/>
          <w:numId w:val="1"/>
        </w:numPr>
        <w:spacing w:after="40"/>
      </w:pPr>
      <w:r>
        <w:t xml:space="preserve">Run built-in validation checks and resolve all error and warning messages</w:t>
      </w:r>
    </w:p>
    <w:p>
      <w:pPr>
        <w:pStyle w:val="ListParagraph"/>
        <w:numPr>
          <w:ilvl w:val="1"/>
          <w:numId w:val="1"/>
        </w:numPr>
        <w:spacing w:after="40"/>
      </w:pPr>
      <w:r>
        <w:t xml:space="preserve">Reconcile key Call Report schedules back to the financial statements</w:t>
      </w:r>
    </w:p>
    <w:p>
      <w:pPr>
        <w:pStyle w:val="ListParagraph"/>
        <w:numPr>
          <w:ilvl w:val="1"/>
          <w:numId w:val="1"/>
        </w:numPr>
        <w:spacing w:after="40"/>
      </w:pPr>
      <w:r>
        <w:t xml:space="preserve">Prepare the FOCUS Report for broker-dealer entities (if applicable)</w:t>
      </w:r>
    </w:p>
    <w:p>
      <w:pPr>
        <w:pStyle w:val="ListParagraph"/>
        <w:numPr>
          <w:ilvl w:val="1"/>
          <w:numId w:val="1"/>
        </w:numPr>
        <w:spacing w:after="40"/>
      </w:pPr>
      <w:r>
        <w:t xml:space="preserve">Route reports for review and sign-off by the controller and CEO/CFO</w:t>
      </w:r>
    </w:p>
    <w:p>
      <w:pPr>
        <w:spacing w:after="100"/>
      </w:pPr>
      <w:r>
        <w:rPr>
          <w:i/>
          <w:iCs/>
          <w:color w:val="1F7A4D"/>
        </w:rPr>
        <w:t xml:space="preserve">Tip: Start Call Report preparation during the close, not after. Many schedules can be drafted as soon as the related GL accounts are reconciled. Waiting until the close is complete compresses the filing timeline.</w:t>
      </w:r>
    </w:p>
    <w:p>
      <w:pPr>
        <w:pStyle w:val="Heading3"/>
        <w:spacing w:after="40" w:before="160"/>
      </w:pPr>
      <w:r>
        <w:t xml:space="preserve">Step 9: Prepare management reporting package</w:t>
      </w:r>
    </w:p>
    <w:p>
      <w:pPr>
        <w:spacing w:after="100"/>
      </w:pPr>
      <w:r>
        <w:t xml:space="preserve">Compile the management reporting package for the board and executive team. Include the financial statements, key metrics, variance commentary, loan portfolio quality metrics, capital ratios, and any significant items for discussion. This package typically has a board meeting deadline that is separate from the regulatory filing deadline.</w:t>
      </w:r>
    </w:p>
    <w:p>
      <w:pPr>
        <w:pStyle w:val="ListParagraph"/>
        <w:numPr>
          <w:ilvl w:val="1"/>
          <w:numId w:val="1"/>
        </w:numPr>
        <w:spacing w:after="40"/>
      </w:pPr>
      <w:r>
        <w:t xml:space="preserve">Compile financial statements with prior period and budget comparisons</w:t>
      </w:r>
    </w:p>
    <w:p>
      <w:pPr>
        <w:pStyle w:val="ListParagraph"/>
        <w:numPr>
          <w:ilvl w:val="1"/>
          <w:numId w:val="1"/>
        </w:numPr>
        <w:spacing w:after="40"/>
      </w:pPr>
      <w:r>
        <w:t xml:space="preserve">Include NIM analysis, loan quality metrics (delinquency, charge-offs, ACL coverage ratio)</w:t>
      </w:r>
    </w:p>
    <w:p>
      <w:pPr>
        <w:pStyle w:val="ListParagraph"/>
        <w:numPr>
          <w:ilvl w:val="1"/>
          <w:numId w:val="1"/>
        </w:numPr>
        <w:spacing w:after="40"/>
      </w:pPr>
      <w:r>
        <w:t xml:space="preserve">Add regulatory capital ratio calculations (CET1, Tier 1, Total Capital)</w:t>
      </w:r>
    </w:p>
    <w:p>
      <w:pPr>
        <w:pStyle w:val="ListParagraph"/>
        <w:numPr>
          <w:ilvl w:val="1"/>
          <w:numId w:val="1"/>
        </w:numPr>
        <w:spacing w:after="40"/>
      </w:pPr>
      <w:r>
        <w:t xml:space="preserve">Write management commentary on significant variances and trends</w:t>
      </w:r>
    </w:p>
    <w:p>
      <w:pPr>
        <w:pStyle w:val="ListParagraph"/>
        <w:numPr>
          <w:ilvl w:val="1"/>
          <w:numId w:val="1"/>
        </w:numPr>
        <w:spacing w:after="40"/>
      </w:pPr>
      <w:r>
        <w:t xml:space="preserve">Distribute the package to the CFO for review before board distribution</w:t>
      </w:r>
    </w:p>
    <w:p>
      <w:pPr>
        <w:pStyle w:val="Heading3"/>
        <w:spacing w:after="40" w:before="160"/>
      </w:pPr>
      <w:r>
        <w:t xml:space="preserve">Step 10: Close the period and archive documentation</w:t>
      </w:r>
    </w:p>
    <w:p>
      <w:pPr>
        <w:spacing w:after="100"/>
      </w:pPr>
      <w:r>
        <w:t xml:space="preserve">Lock the general ledger period to prevent any further postings. Archive all reconciliations, journal entries, supporting schedules, and review sign-offs in the close management tool. These records form the audit trail that SOX auditors and regulators will review. Update the close checklist to reflect completion and note any carryover items for next period.</w:t>
      </w:r>
    </w:p>
    <w:p>
      <w:pPr>
        <w:pStyle w:val="ListParagraph"/>
        <w:numPr>
          <w:ilvl w:val="1"/>
          <w:numId w:val="1"/>
        </w:numPr>
        <w:spacing w:after="40"/>
      </w:pPr>
      <w:r>
        <w:t xml:space="preserve">Lock the GL period in the core banking system to prevent further postings</w:t>
      </w:r>
    </w:p>
    <w:p>
      <w:pPr>
        <w:pStyle w:val="ListParagraph"/>
        <w:numPr>
          <w:ilvl w:val="1"/>
          <w:numId w:val="1"/>
        </w:numPr>
        <w:spacing w:after="40"/>
      </w:pPr>
      <w:r>
        <w:t xml:space="preserve">Verify all close checklist items are marked complete with reviewer sign-off</w:t>
      </w:r>
    </w:p>
    <w:p>
      <w:pPr>
        <w:pStyle w:val="ListParagraph"/>
        <w:numPr>
          <w:ilvl w:val="1"/>
          <w:numId w:val="1"/>
        </w:numPr>
        <w:spacing w:after="40"/>
      </w:pPr>
      <w:r>
        <w:t xml:space="preserve">Archive all reconciliations and journal entry support in the close management tool</w:t>
      </w:r>
    </w:p>
    <w:p>
      <w:pPr>
        <w:pStyle w:val="ListParagraph"/>
        <w:numPr>
          <w:ilvl w:val="1"/>
          <w:numId w:val="1"/>
        </w:numPr>
        <w:spacing w:after="40"/>
      </w:pPr>
      <w:r>
        <w:t xml:space="preserve">Document any carryover items with justification and target resolution date</w:t>
      </w:r>
    </w:p>
    <w:p>
      <w:pPr>
        <w:pStyle w:val="ListParagraph"/>
        <w:numPr>
          <w:ilvl w:val="1"/>
          <w:numId w:val="1"/>
        </w:numPr>
        <w:spacing w:after="40"/>
      </w:pPr>
      <w:r>
        <w:t xml:space="preserve">Send close completion notification to the CFO and finance team</w:t>
      </w:r>
    </w:p>
    <w:p>
      <w:pPr>
        <w:pStyle w:val="Heading2"/>
        <w:spacing w:after="100" w:before="240"/>
      </w:pPr>
      <w:r>
        <w:t xml:space="preserve">Completion Checklist</w:t>
      </w:r>
    </w:p>
    <w:p>
      <w:pPr>
        <w:spacing w:after="40"/>
      </w:pPr>
      <w:r>
        <w:t xml:space="preserve">☐  Close calendar distributed with task assignments and deadlines</w:t>
      </w:r>
    </w:p>
    <w:p>
      <w:pPr>
        <w:spacing w:after="40"/>
      </w:pPr>
      <w:r>
        <w:t xml:space="preserve">☐  Sub-ledger feeds verified and balanced to GL control accounts</w:t>
      </w:r>
    </w:p>
    <w:p>
      <w:pPr>
        <w:spacing w:after="40"/>
      </w:pPr>
      <w:r>
        <w:t xml:space="preserve">☐  Transaction cutoff confirmed — no next-period items in closing month</w:t>
      </w:r>
    </w:p>
    <w:p>
      <w:pPr>
        <w:spacing w:after="40"/>
      </w:pPr>
      <w:r>
        <w:t xml:space="preserve">☐  All balance sheet accounts reconciled with items investigated</w:t>
      </w:r>
    </w:p>
    <w:p>
      <w:pPr>
        <w:spacing w:after="40"/>
      </w:pPr>
      <w:r>
        <w:t xml:space="preserve">☐  Accruals, deferrals, and adjusting entries posted</w:t>
      </w:r>
    </w:p>
    <w:p>
      <w:pPr>
        <w:spacing w:after="40"/>
      </w:pPr>
      <w:r>
        <w:t xml:space="preserve">☐  Allowance for credit losses calculated and booked under CECL methodology</w:t>
      </w:r>
    </w:p>
    <w:p>
      <w:pPr>
        <w:spacing w:after="40"/>
      </w:pPr>
      <w:r>
        <w:t xml:space="preserve">☐  All material journal entries reviewed and approved by controller</w:t>
      </w:r>
    </w:p>
    <w:p>
      <w:pPr>
        <w:spacing w:after="40"/>
      </w:pPr>
      <w:r>
        <w:t xml:space="preserve">☐  Adjusted trial balance generated and variance analysis completed</w:t>
      </w:r>
    </w:p>
    <w:p>
      <w:pPr>
        <w:spacing w:after="40"/>
      </w:pPr>
      <w:r>
        <w:t xml:space="preserve">☐  Regulatory reports (Call Report, FOCUS Report) prepared and validated</w:t>
      </w:r>
    </w:p>
    <w:p>
      <w:pPr>
        <w:spacing w:after="40"/>
      </w:pPr>
      <w:r>
        <w:t xml:space="preserve">☐  Management reporting package compiled and distributed</w:t>
      </w:r>
    </w:p>
    <w:p>
      <w:pPr>
        <w:spacing w:after="40"/>
      </w:pPr>
      <w:r>
        <w:t xml:space="preserve">☐  GL period locked and all documentation archived</w:t>
      </w:r>
    </w:p>
    <w:p>
      <w:pPr>
        <w:spacing w:after="40"/>
      </w:pPr>
      <w:r>
        <w:t xml:space="preserve">☐  Carryover items documented with owners and deadlines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Close completion time (business days after month-end)</w:t>
            </w:r>
          </w:p>
        </w:tc>
        <w:tc>
          <w:tcPr>
            <w:tcMar>
              <w:top w:type="dxa" w:w="60"/>
              <w:left w:type="dxa" w:w="120"/>
              <w:bottom w:type="dxa" w:w="60"/>
              <w:right w:type="dxa" w:w="120"/>
            </w:tcMar>
          </w:tcPr>
          <w:p>
            <w:r>
              <w:rPr>
                <w:b w:val="false"/>
                <w:bCs w:val="false"/>
              </w:rPr>
              <w:t xml:space="preserve">Under 8 business days for monthly close, under 12 for quarter-end</w:t>
            </w:r>
          </w:p>
        </w:tc>
      </w:tr>
      <w:tr>
        <w:trPr>
          <w:tblHeader w:val="false"/>
        </w:trPr>
        <w:tc>
          <w:tcPr>
            <w:tcMar>
              <w:top w:type="dxa" w:w="60"/>
              <w:left w:type="dxa" w:w="120"/>
              <w:bottom w:type="dxa" w:w="60"/>
              <w:right w:type="dxa" w:w="120"/>
            </w:tcMar>
          </w:tcPr>
          <w:p>
            <w:r>
              <w:rPr>
                <w:b w:val="false"/>
                <w:bCs w:val="false"/>
              </w:rPr>
              <w:t xml:space="preserve">Reconciling items over 90 days old</w:t>
            </w:r>
          </w:p>
        </w:tc>
        <w:tc>
          <w:tcPr>
            <w:tcMar>
              <w:top w:type="dxa" w:w="60"/>
              <w:left w:type="dxa" w:w="120"/>
              <w:bottom w:type="dxa" w:w="60"/>
              <w:right w:type="dxa" w:w="120"/>
            </w:tcMar>
          </w:tcPr>
          <w:p>
            <w:r>
              <w:rPr>
                <w:b w:val="false"/>
                <w:bCs w:val="false"/>
              </w:rPr>
              <w:t xml:space="preserve">Zero unresolved items over 90 days without management approval</w:t>
            </w:r>
          </w:p>
        </w:tc>
      </w:tr>
      <w:tr>
        <w:trPr>
          <w:tblHeader w:val="false"/>
        </w:trPr>
        <w:tc>
          <w:tcPr>
            <w:tcMar>
              <w:top w:type="dxa" w:w="60"/>
              <w:left w:type="dxa" w:w="120"/>
              <w:bottom w:type="dxa" w:w="60"/>
              <w:right w:type="dxa" w:w="120"/>
            </w:tcMar>
          </w:tcPr>
          <w:p>
            <w:r>
              <w:rPr>
                <w:b w:val="false"/>
                <w:bCs w:val="false"/>
              </w:rPr>
              <w:t xml:space="preserve">Post-close adjustments</w:t>
            </w:r>
          </w:p>
        </w:tc>
        <w:tc>
          <w:tcPr>
            <w:tcMar>
              <w:top w:type="dxa" w:w="60"/>
              <w:left w:type="dxa" w:w="120"/>
              <w:bottom w:type="dxa" w:w="60"/>
              <w:right w:type="dxa" w:w="120"/>
            </w:tcMar>
          </w:tcPr>
          <w:p>
            <w:r>
              <w:rPr>
                <w:b w:val="false"/>
                <w:bCs w:val="false"/>
              </w:rPr>
              <w:t xml:space="preserve">Less than 3 adjustments per period after the close is finalized</w:t>
            </w:r>
          </w:p>
        </w:tc>
      </w:tr>
      <w:tr>
        <w:trPr>
          <w:tblHeader w:val="false"/>
        </w:trPr>
        <w:tc>
          <w:tcPr>
            <w:tcMar>
              <w:top w:type="dxa" w:w="60"/>
              <w:left w:type="dxa" w:w="120"/>
              <w:bottom w:type="dxa" w:w="60"/>
              <w:right w:type="dxa" w:w="120"/>
            </w:tcMar>
          </w:tcPr>
          <w:p>
            <w:r>
              <w:rPr>
                <w:b w:val="false"/>
                <w:bCs w:val="false"/>
              </w:rPr>
              <w:t xml:space="preserve">Regulatory report validation errors at submission</w:t>
            </w:r>
          </w:p>
        </w:tc>
        <w:tc>
          <w:tcPr>
            <w:tcMar>
              <w:top w:type="dxa" w:w="60"/>
              <w:left w:type="dxa" w:w="120"/>
              <w:bottom w:type="dxa" w:w="60"/>
              <w:right w:type="dxa" w:w="120"/>
            </w:tcMar>
          </w:tcPr>
          <w:p>
            <w:r>
              <w:rPr>
                <w:b w:val="false"/>
                <w:bCs w:val="false"/>
              </w:rPr>
              <w:t xml:space="preserve">Zero errors; warnings documented and explained</w:t>
            </w:r>
          </w:p>
        </w:tc>
      </w:tr>
      <w:tr>
        <w:trPr>
          <w:tblHeader w:val="false"/>
        </w:trPr>
        <w:tc>
          <w:tcPr>
            <w:tcMar>
              <w:top w:type="dxa" w:w="60"/>
              <w:left w:type="dxa" w:w="120"/>
              <w:bottom w:type="dxa" w:w="60"/>
              <w:right w:type="dxa" w:w="120"/>
            </w:tcMar>
          </w:tcPr>
          <w:p>
            <w:r>
              <w:rPr>
                <w:b w:val="false"/>
                <w:bCs w:val="false"/>
              </w:rPr>
              <w:t xml:space="preserve">Close task completion rate by deadline</w:t>
            </w:r>
          </w:p>
        </w:tc>
        <w:tc>
          <w:tcPr>
            <w:tcMar>
              <w:top w:type="dxa" w:w="60"/>
              <w:left w:type="dxa" w:w="120"/>
              <w:bottom w:type="dxa" w:w="60"/>
              <w:right w:type="dxa" w:w="120"/>
            </w:tcMar>
          </w:tcPr>
          <w:p>
            <w:r>
              <w:rPr>
                <w:b w:val="false"/>
                <w:bCs w:val="false"/>
              </w:rPr>
              <w:t xml:space="preserve">95% of tasks completed on or before their assigned deadline</w:t>
            </w:r>
          </w:p>
        </w:tc>
      </w:tr>
    </w:tbl>
    <w:p>
      <w:pPr>
        <w:pStyle w:val="Heading2"/>
        <w:spacing w:after="100" w:before="240"/>
      </w:pPr>
      <w:r>
        <w:t xml:space="preserve">Revision Schedule</w:t>
      </w:r>
    </w:p>
    <w:p>
      <w:pPr>
        <w:spacing w:after="100"/>
      </w:pPr>
      <w:r>
        <w:t xml:space="preserve">Annually, or immediately after changes to accounting standards (ASU updates), regulatory reporting requirements, or SOX audit findings related to the close process.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Month-End Close SOP Template for Financial Services Teams</dc:title>
  <dc:creator>Glyde</dc:creator>
  <dc:description>Free month-end close SOP template for financial services. Covers reconciliation, journal entries, accruals, regulatory reporting, and SOX control documentation.</dc:description>
  <cp:lastModifiedBy>Un-named</cp:lastModifiedBy>
  <cp:revision>1</cp:revision>
  <dcterms:created xsi:type="dcterms:W3CDTF">2026-07-22T08:34:35.843Z</dcterms:created>
  <dcterms:modified xsi:type="dcterms:W3CDTF">2026-07-22T08:34:35.843Z</dcterms:modified>
</cp:coreProperties>
</file>

<file path=docProps/custom.xml><?xml version="1.0" encoding="utf-8"?>
<Properties xmlns="http://schemas.openxmlformats.org/officeDocument/2006/custom-properties" xmlns:vt="http://schemas.openxmlformats.org/officeDocument/2006/docPropsVTypes"/>
</file>