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Month-End Close SOP Template for Legal Teams</w:t>
      </w:r>
    </w:p>
    <w:p>
      <w:pPr>
        <w:spacing w:after="200"/>
      </w:pPr>
      <w:r>
        <w:rPr>
          <w:i/>
          <w:iCs/>
          <w:color w:val="6B7280"/>
        </w:rPr>
        <w:t xml:space="preserve">Free month-end close SOP for law firms. Covers trust reconciliation, billing review, and financial reporting procedures.</w:t>
      </w:r>
    </w:p>
    <w:p>
      <w:pPr>
        <w:pStyle w:val="Heading2"/>
        <w:spacing w:after="100" w:before="240"/>
      </w:pPr>
      <w:r>
        <w:t xml:space="preserve">Purpose</w:t>
      </w:r>
    </w:p>
    <w:p>
      <w:pPr>
        <w:spacing w:after="100"/>
      </w:pPr>
      <w:r>
        <w:t xml:space="preserve">Close the books at the end of each month so that billing is accurate, trust accounts are reconciled, and financial reports are ready for the managing partner within 5 business days. Firms that skip the monthly close end up scrambling at year-end, discovering trust account discrepancies months after they occurred.</w:t>
      </w:r>
    </w:p>
    <w:p>
      <w:pPr>
        <w:pStyle w:val="Heading2"/>
        <w:spacing w:after="100" w:before="240"/>
      </w:pPr>
      <w:r>
        <w:t xml:space="preserve">Scope</w:t>
      </w:r>
    </w:p>
    <w:p>
      <w:pPr>
        <w:spacing w:after="100"/>
      </w:pPr>
      <w:r>
        <w:t xml:space="preserve">Covers time entry finalization, invoice generation, trust account reconciliation, accounts receivable review, and financial reporting. Does not cover annual tax preparation or partner distribution calculations.</w:t>
      </w:r>
    </w:p>
    <w:p>
      <w:pPr>
        <w:pStyle w:val="Heading2"/>
        <w:spacing w:after="100" w:before="240"/>
      </w:pPr>
      <w:r>
        <w:t xml:space="preserve">Prerequisites</w:t>
      </w:r>
    </w:p>
    <w:p>
      <w:pPr>
        <w:pStyle w:val="ListParagraph"/>
        <w:numPr>
          <w:ilvl w:val="0"/>
          <w:numId w:val="1"/>
        </w:numPr>
        <w:spacing w:after="40"/>
      </w:pPr>
      <w:r>
        <w:t xml:space="preserve">Clio billing module configured with current hourly rates and matter billing preferences</w:t>
      </w:r>
    </w:p>
    <w:p>
      <w:pPr>
        <w:pStyle w:val="ListParagraph"/>
        <w:numPr>
          <w:ilvl w:val="0"/>
          <w:numId w:val="1"/>
        </w:numPr>
        <w:spacing w:after="40"/>
      </w:pPr>
      <w:r>
        <w:t xml:space="preserve">Bank statements available for all firm operating and trust accounts</w:t>
      </w:r>
    </w:p>
    <w:p>
      <w:pPr>
        <w:pStyle w:val="ListParagraph"/>
        <w:numPr>
          <w:ilvl w:val="0"/>
          <w:numId w:val="1"/>
        </w:numPr>
        <w:spacing w:after="40"/>
      </w:pPr>
      <w:r>
        <w:t xml:space="preserve">All attorneys notified of the time entry deadline (3 business days before month-end)</w:t>
      </w:r>
    </w:p>
    <w:p>
      <w:pPr>
        <w:pStyle w:val="ListParagraph"/>
        <w:numPr>
          <w:ilvl w:val="0"/>
          <w:numId w:val="1"/>
        </w:numPr>
        <w:spacing w:after="40"/>
      </w:pPr>
      <w:r>
        <w:t xml:space="preserve">Prior month's reconciliation completed and filed</w:t>
      </w:r>
    </w:p>
    <w:p>
      <w:pPr>
        <w:pStyle w:val="Heading2"/>
        <w:spacing w:after="100" w:before="240"/>
      </w:pPr>
      <w:r>
        <w:t xml:space="preserve">Roles &amp; Responsibilities</w:t>
      </w:r>
    </w:p>
    <w:p>
      <w:pPr>
        <w:spacing w:after="40" w:before="120"/>
      </w:pPr>
      <w:r>
        <w:rPr>
          <w:b/>
          <w:bCs/>
        </w:rPr>
        <w:t xml:space="preserve">Bookkeeper / Controller</w:t>
      </w:r>
    </w:p>
    <w:p>
      <w:pPr>
        <w:pStyle w:val="ListParagraph"/>
        <w:numPr>
          <w:ilvl w:val="0"/>
          <w:numId w:val="1"/>
        </w:numPr>
        <w:spacing w:after="40"/>
      </w:pPr>
      <w:r>
        <w:t xml:space="preserve">Finalize all time entries and generate pre-bills in Clio</w:t>
      </w:r>
    </w:p>
    <w:p>
      <w:pPr>
        <w:pStyle w:val="ListParagraph"/>
        <w:numPr>
          <w:ilvl w:val="0"/>
          <w:numId w:val="1"/>
        </w:numPr>
        <w:spacing w:after="40"/>
      </w:pPr>
      <w:r>
        <w:t xml:space="preserve">Reconcile trust and operating accounts against bank statements</w:t>
      </w:r>
    </w:p>
    <w:p>
      <w:pPr>
        <w:pStyle w:val="ListParagraph"/>
        <w:numPr>
          <w:ilvl w:val="0"/>
          <w:numId w:val="1"/>
        </w:numPr>
        <w:spacing w:after="40"/>
      </w:pPr>
      <w:r>
        <w:t xml:space="preserve">Prepare the monthly financial summary for the managing partner</w:t>
      </w:r>
    </w:p>
    <w:p>
      <w:pPr>
        <w:spacing w:after="40" w:before="120"/>
      </w:pPr>
      <w:r>
        <w:rPr>
          <w:b/>
          <w:bCs/>
        </w:rPr>
        <w:t xml:space="preserve">Office Manager</w:t>
      </w:r>
    </w:p>
    <w:p>
      <w:pPr>
        <w:pStyle w:val="ListParagraph"/>
        <w:numPr>
          <w:ilvl w:val="0"/>
          <w:numId w:val="1"/>
        </w:numPr>
        <w:spacing w:after="40"/>
      </w:pPr>
      <w:r>
        <w:t xml:space="preserve">Chase outstanding time entries from attorneys before the deadline</w:t>
      </w:r>
    </w:p>
    <w:p>
      <w:pPr>
        <w:pStyle w:val="ListParagraph"/>
        <w:numPr>
          <w:ilvl w:val="0"/>
          <w:numId w:val="1"/>
        </w:numPr>
        <w:spacing w:after="40"/>
      </w:pPr>
      <w:r>
        <w:t xml:space="preserve">Review pre-bills for billing guideline compliance on major client matters</w:t>
      </w:r>
    </w:p>
    <w:p>
      <w:pPr>
        <w:pStyle w:val="ListParagraph"/>
        <w:numPr>
          <w:ilvl w:val="0"/>
          <w:numId w:val="1"/>
        </w:numPr>
        <w:spacing w:after="40"/>
      </w:pPr>
      <w:r>
        <w:t xml:space="preserve">Distribute finalized invoices to clients</w:t>
      </w:r>
    </w:p>
    <w:p>
      <w:pPr>
        <w:spacing w:after="40" w:before="120"/>
      </w:pPr>
      <w:r>
        <w:rPr>
          <w:b/>
          <w:bCs/>
        </w:rPr>
        <w:t xml:space="preserve">Managing Partner</w:t>
      </w:r>
    </w:p>
    <w:p>
      <w:pPr>
        <w:pStyle w:val="ListParagraph"/>
        <w:numPr>
          <w:ilvl w:val="0"/>
          <w:numId w:val="1"/>
        </w:numPr>
        <w:spacing w:after="40"/>
      </w:pPr>
      <w:r>
        <w:t xml:space="preserve">Review and approve the monthly financial summary</w:t>
      </w:r>
    </w:p>
    <w:p>
      <w:pPr>
        <w:pStyle w:val="ListParagraph"/>
        <w:numPr>
          <w:ilvl w:val="0"/>
          <w:numId w:val="1"/>
        </w:numPr>
        <w:spacing w:after="40"/>
      </w:pPr>
      <w:r>
        <w:t xml:space="preserve">Approve write-offs exceeding the firm's threshold</w:t>
      </w:r>
    </w:p>
    <w:p>
      <w:pPr>
        <w:pStyle w:val="ListParagraph"/>
        <w:numPr>
          <w:ilvl w:val="0"/>
          <w:numId w:val="1"/>
        </w:numPr>
        <w:spacing w:after="40"/>
      </w:pPr>
      <w:r>
        <w:t xml:space="preserve">Sign off on the trust account reconciliation</w:t>
      </w:r>
    </w:p>
    <w:p>
      <w:pPr>
        <w:pStyle w:val="Heading2"/>
        <w:spacing w:after="100" w:before="240"/>
      </w:pPr>
      <w:r>
        <w:t xml:space="preserve">Procedure</w:t>
      </w:r>
    </w:p>
    <w:p>
      <w:pPr>
        <w:pStyle w:val="Heading3"/>
        <w:spacing w:after="40" w:before="160"/>
      </w:pPr>
      <w:r>
        <w:t xml:space="preserve">Step 1: Send the time entry deadline reminder</w:t>
      </w:r>
    </w:p>
    <w:p>
      <w:pPr>
        <w:spacing w:after="100"/>
      </w:pPr>
      <w:r>
        <w:t xml:space="preserve">Five business days before month-end, email all attorneys and paralegals a reminder that time entries must be finalized by the 28th (or the last business day). Include a list of anyone with unbilled time exceeding 5 hours. Follow up individually with anyone who hasn't entered time by 2 days before the deadline.</w:t>
      </w:r>
    </w:p>
    <w:p>
      <w:pPr>
        <w:spacing w:after="100"/>
      </w:pPr>
      <w:r>
        <w:rPr>
          <w:i/>
          <w:iCs/>
          <w:color w:val="1F7A4D"/>
        </w:rPr>
        <w:t xml:space="preserve">Tip: Attorneys who are 3+ days behind on time entry lose an average of 10-15% of billable time to forgotten entries. The reminder saves revenue.</w:t>
      </w:r>
    </w:p>
    <w:p>
      <w:pPr>
        <w:pStyle w:val="Heading3"/>
        <w:spacing w:after="40" w:before="160"/>
      </w:pPr>
      <w:r>
        <w:t xml:space="preserve">Step 2: Finalize time entries and generate pre-bills</w:t>
      </w:r>
    </w:p>
    <w:p>
      <w:pPr>
        <w:spacing w:after="100"/>
      </w:pPr>
      <w:r>
        <w:t xml:space="preserve">After the time entry deadline passes, lock the billing period in Clio to prevent late entries without approval. Generate pre-bills for every active matter with unbilled time or costs. Export the pre-bills as PDFs for attorney review.</w:t>
      </w:r>
    </w:p>
    <w:p>
      <w:pPr>
        <w:pStyle w:val="ListParagraph"/>
        <w:numPr>
          <w:ilvl w:val="1"/>
          <w:numId w:val="1"/>
        </w:numPr>
        <w:spacing w:after="40"/>
      </w:pPr>
      <w:r>
        <w:t xml:space="preserve">In Clio, go to Billing &gt; Time Entries and review for completeness</w:t>
      </w:r>
    </w:p>
    <w:p>
      <w:pPr>
        <w:pStyle w:val="ListParagraph"/>
        <w:numPr>
          <w:ilvl w:val="1"/>
          <w:numId w:val="1"/>
        </w:numPr>
        <w:spacing w:after="40"/>
      </w:pPr>
      <w:r>
        <w:t xml:space="preserve">Lock the billing period for the closing month</w:t>
      </w:r>
    </w:p>
    <w:p>
      <w:pPr>
        <w:pStyle w:val="ListParagraph"/>
        <w:numPr>
          <w:ilvl w:val="1"/>
          <w:numId w:val="1"/>
        </w:numPr>
        <w:spacing w:after="40"/>
      </w:pPr>
      <w:r>
        <w:t xml:space="preserve">Generate pre-bills: Billing &gt; Bills &gt; Generate</w:t>
      </w:r>
    </w:p>
    <w:p>
      <w:pPr>
        <w:pStyle w:val="ListParagraph"/>
        <w:numPr>
          <w:ilvl w:val="1"/>
          <w:numId w:val="1"/>
        </w:numPr>
        <w:spacing w:after="40"/>
      </w:pPr>
      <w:r>
        <w:t xml:space="preserve">Route pre-bills to responsible attorneys for review within 2 business days</w:t>
      </w:r>
    </w:p>
    <w:p>
      <w:pPr>
        <w:pStyle w:val="Heading3"/>
        <w:spacing w:after="40" w:before="160"/>
      </w:pPr>
      <w:r>
        <w:t xml:space="preserve">Step 3: Review pre-bills and apply adjustments</w:t>
      </w:r>
    </w:p>
    <w:p>
      <w:pPr>
        <w:spacing w:after="100"/>
      </w:pPr>
      <w:r>
        <w:t xml:space="preserve">Each responsible attorney reviews their pre-bills within 2 business days. They may adjust narratives for client billing guideline compliance, write off unbillable time, or split entries across matters. The office manager checks major client invoices against outside counsel billing guidelines before finalization.</w:t>
      </w:r>
    </w:p>
    <w:p>
      <w:pPr>
        <w:spacing w:after="100"/>
      </w:pPr>
      <w:r>
        <w:rPr>
          <w:i/>
          <w:iCs/>
          <w:color w:val="B45309"/>
        </w:rPr>
        <w:t xml:space="preserve">Warning: For clients with outside counsel billing guidelines, a non-compliant invoice gets rejected and delays payment by 30-60 days. Check block billing rules, task code requirements, and rate caps before sending.</w:t>
      </w:r>
    </w:p>
    <w:p>
      <w:pPr>
        <w:pStyle w:val="Heading3"/>
        <w:spacing w:after="40" w:before="160"/>
      </w:pPr>
      <w:r>
        <w:t xml:space="preserve">Step 4: Finalize and distribute invoices</w:t>
      </w:r>
    </w:p>
    <w:p>
      <w:pPr>
        <w:spacing w:after="100"/>
      </w:pPr>
      <w:r>
        <w:t xml:space="preserve">After attorney approval, finalize the invoices in Clio and distribute them to clients via the preferred method (email, client portal, or mail). Record the invoice date and amount in the billing log. For clients on electronic billing (e.g., Legal Tracker, Collaborati), submit through the required platform.</w:t>
      </w:r>
    </w:p>
    <w:p>
      <w:pPr>
        <w:pStyle w:val="ListParagraph"/>
        <w:numPr>
          <w:ilvl w:val="1"/>
          <w:numId w:val="1"/>
        </w:numPr>
        <w:spacing w:after="40"/>
      </w:pPr>
      <w:r>
        <w:t xml:space="preserve">Finalize approved pre-bills in Clio</w:t>
      </w:r>
    </w:p>
    <w:p>
      <w:pPr>
        <w:pStyle w:val="ListParagraph"/>
        <w:numPr>
          <w:ilvl w:val="1"/>
          <w:numId w:val="1"/>
        </w:numPr>
        <w:spacing w:after="40"/>
      </w:pPr>
      <w:r>
        <w:t xml:space="preserve">Generate invoice PDFs or LEDES files for e-billing clients</w:t>
      </w:r>
    </w:p>
    <w:p>
      <w:pPr>
        <w:pStyle w:val="ListParagraph"/>
        <w:numPr>
          <w:ilvl w:val="1"/>
          <w:numId w:val="1"/>
        </w:numPr>
        <w:spacing w:after="40"/>
      </w:pPr>
      <w:r>
        <w:t xml:space="preserve">Email invoices to clients or submit through e-billing platforms</w:t>
      </w:r>
    </w:p>
    <w:p>
      <w:pPr>
        <w:pStyle w:val="ListParagraph"/>
        <w:numPr>
          <w:ilvl w:val="1"/>
          <w:numId w:val="1"/>
        </w:numPr>
        <w:spacing w:after="40"/>
      </w:pPr>
      <w:r>
        <w:t xml:space="preserve">Record invoice numbers, dates, and amounts in the billing log</w:t>
      </w:r>
    </w:p>
    <w:p>
      <w:pPr>
        <w:pStyle w:val="Heading3"/>
        <w:spacing w:after="40" w:before="160"/>
      </w:pPr>
      <w:r>
        <w:t xml:space="preserve">Step 5: Reconcile the trust account (IOLTA)</w:t>
      </w:r>
    </w:p>
    <w:p>
      <w:pPr>
        <w:spacing w:after="100"/>
      </w:pPr>
      <w:r>
        <w:t xml:space="preserve">Pull the trust account bank statement and reconcile it against Clio's trust ledger. Verify that every deposit and disbursement matches. The three-way reconciliation must balance: bank statement balance = Clio book balance = sum of individual client trust balances. Investigate and document any discrepancies.</w:t>
      </w:r>
    </w:p>
    <w:p>
      <w:pPr>
        <w:pStyle w:val="ListParagraph"/>
        <w:numPr>
          <w:ilvl w:val="1"/>
          <w:numId w:val="1"/>
        </w:numPr>
        <w:spacing w:after="40"/>
      </w:pPr>
      <w:r>
        <w:t xml:space="preserve">Download the trust account bank statement</w:t>
      </w:r>
    </w:p>
    <w:p>
      <w:pPr>
        <w:pStyle w:val="ListParagraph"/>
        <w:numPr>
          <w:ilvl w:val="1"/>
          <w:numId w:val="1"/>
        </w:numPr>
        <w:spacing w:after="40"/>
      </w:pPr>
      <w:r>
        <w:t xml:space="preserve">In Clio, go to Accounting &gt; Trust &gt; Reconciliation</w:t>
      </w:r>
    </w:p>
    <w:p>
      <w:pPr>
        <w:pStyle w:val="ListParagraph"/>
        <w:numPr>
          <w:ilvl w:val="1"/>
          <w:numId w:val="1"/>
        </w:numPr>
        <w:spacing w:after="40"/>
      </w:pPr>
      <w:r>
        <w:t xml:space="preserve">Match each bank transaction to a Clio entry</w:t>
      </w:r>
    </w:p>
    <w:p>
      <w:pPr>
        <w:pStyle w:val="ListParagraph"/>
        <w:numPr>
          <w:ilvl w:val="1"/>
          <w:numId w:val="1"/>
        </w:numPr>
        <w:spacing w:after="40"/>
      </w:pPr>
      <w:r>
        <w:t xml:space="preserve">Verify the three-way reconciliation balances</w:t>
      </w:r>
    </w:p>
    <w:p>
      <w:pPr>
        <w:pStyle w:val="ListParagraph"/>
        <w:numPr>
          <w:ilvl w:val="1"/>
          <w:numId w:val="1"/>
        </w:numPr>
        <w:spacing w:after="40"/>
      </w:pPr>
      <w:r>
        <w:t xml:space="preserve">Document any discrepancies and resolution steps</w:t>
      </w:r>
    </w:p>
    <w:p>
      <w:pPr>
        <w:spacing w:after="100"/>
      </w:pPr>
      <w:r>
        <w:rPr>
          <w:i/>
          <w:iCs/>
          <w:color w:val="B45309"/>
        </w:rPr>
        <w:t xml:space="preserve">Warning: An unreconciled trust account is the single most common trigger for bar disciplinary action. Complete this step every month without exception, even if the account had no activity.</w:t>
      </w:r>
    </w:p>
    <w:p>
      <w:pPr>
        <w:pStyle w:val="Heading3"/>
        <w:spacing w:after="40" w:before="160"/>
      </w:pPr>
      <w:r>
        <w:t xml:space="preserve">Step 6: Reconcile the operating account</w:t>
      </w:r>
    </w:p>
    <w:p>
      <w:pPr>
        <w:spacing w:after="100"/>
      </w:pPr>
      <w:r>
        <w:t xml:space="preserve">Reconcile the firm's operating bank account against the general ledger in your accounting software (QuickBooks, Xero, or Clio's built-in accounting). Verify payroll debits, vendor payments, and client payment deposits all match. Record any adjustments.</w:t>
      </w:r>
    </w:p>
    <w:p>
      <w:pPr>
        <w:pStyle w:val="ListParagraph"/>
        <w:numPr>
          <w:ilvl w:val="1"/>
          <w:numId w:val="1"/>
        </w:numPr>
        <w:spacing w:after="40"/>
      </w:pPr>
      <w:r>
        <w:t xml:space="preserve">Download the operating account bank statement</w:t>
      </w:r>
    </w:p>
    <w:p>
      <w:pPr>
        <w:pStyle w:val="ListParagraph"/>
        <w:numPr>
          <w:ilvl w:val="1"/>
          <w:numId w:val="1"/>
        </w:numPr>
        <w:spacing w:after="40"/>
      </w:pPr>
      <w:r>
        <w:t xml:space="preserve">Match each transaction to the general ledger</w:t>
      </w:r>
    </w:p>
    <w:p>
      <w:pPr>
        <w:pStyle w:val="ListParagraph"/>
        <w:numPr>
          <w:ilvl w:val="1"/>
          <w:numId w:val="1"/>
        </w:numPr>
        <w:spacing w:after="40"/>
      </w:pPr>
      <w:r>
        <w:t xml:space="preserve">Verify payroll, vendor payments, and client deposits</w:t>
      </w:r>
    </w:p>
    <w:p>
      <w:pPr>
        <w:pStyle w:val="ListParagraph"/>
        <w:numPr>
          <w:ilvl w:val="1"/>
          <w:numId w:val="1"/>
        </w:numPr>
        <w:spacing w:after="40"/>
      </w:pPr>
      <w:r>
        <w:t xml:space="preserve">Record any adjusting entries and document the reason</w:t>
      </w:r>
    </w:p>
    <w:p>
      <w:pPr>
        <w:pStyle w:val="Heading3"/>
        <w:spacing w:after="40" w:before="160"/>
      </w:pPr>
      <w:r>
        <w:t xml:space="preserve">Step 7: Review accounts receivable aging</w:t>
      </w:r>
    </w:p>
    <w:p>
      <w:pPr>
        <w:spacing w:after="100"/>
      </w:pPr>
      <w:r>
        <w:t xml:space="preserve">Pull the AR aging report from Clio. Review all invoices outstanding over 60 days. For invoices over 90 days, escalate to the responsible attorney to contact the client. Flag any invoices that may need to be written off and present to the managing partner for approval.</w:t>
      </w:r>
    </w:p>
    <w:p>
      <w:pPr>
        <w:pStyle w:val="ListParagraph"/>
        <w:numPr>
          <w:ilvl w:val="1"/>
          <w:numId w:val="1"/>
        </w:numPr>
        <w:spacing w:after="40"/>
      </w:pPr>
      <w:r>
        <w:t xml:space="preserve">Run AR aging report in Clio: Reports &gt; Accounts Receivable Aging</w:t>
      </w:r>
    </w:p>
    <w:p>
      <w:pPr>
        <w:pStyle w:val="ListParagraph"/>
        <w:numPr>
          <w:ilvl w:val="1"/>
          <w:numId w:val="1"/>
        </w:numPr>
        <w:spacing w:after="40"/>
      </w:pPr>
      <w:r>
        <w:t xml:space="preserve">List all invoices over 60 days with responsible attorney</w:t>
      </w:r>
    </w:p>
    <w:p>
      <w:pPr>
        <w:pStyle w:val="ListParagraph"/>
        <w:numPr>
          <w:ilvl w:val="1"/>
          <w:numId w:val="1"/>
        </w:numPr>
        <w:spacing w:after="40"/>
      </w:pPr>
      <w:r>
        <w:t xml:space="preserve">Escalate 90+ day invoices to the responsible attorney for follow-up</w:t>
      </w:r>
    </w:p>
    <w:p>
      <w:pPr>
        <w:pStyle w:val="ListParagraph"/>
        <w:numPr>
          <w:ilvl w:val="1"/>
          <w:numId w:val="1"/>
        </w:numPr>
        <w:spacing w:after="40"/>
      </w:pPr>
      <w:r>
        <w:t xml:space="preserve">Prepare write-off recommendations for managing partner approval</w:t>
      </w:r>
    </w:p>
    <w:p>
      <w:pPr>
        <w:pStyle w:val="Heading3"/>
        <w:spacing w:after="40" w:before="160"/>
      </w:pPr>
      <w:r>
        <w:t xml:space="preserve">Step 8: Prepare and deliver the monthly financial summary</w:t>
      </w:r>
    </w:p>
    <w:p>
      <w:pPr>
        <w:spacing w:after="100"/>
      </w:pPr>
      <w:r>
        <w:t xml:space="preserve">Compile the monthly financial summary including: total billings, total collections, trust account balance, operating account balance, AR aging summary, and comparison to budget. Deliver to the managing partner within 5 business days of month-end. Archive the report in NetDocuments.</w:t>
      </w:r>
    </w:p>
    <w:p>
      <w:pPr>
        <w:pStyle w:val="ListParagraph"/>
        <w:numPr>
          <w:ilvl w:val="1"/>
          <w:numId w:val="1"/>
        </w:numPr>
        <w:spacing w:after="40"/>
      </w:pPr>
      <w:r>
        <w:t xml:space="preserve">Compile billings, collections, and write-off totals</w:t>
      </w:r>
    </w:p>
    <w:p>
      <w:pPr>
        <w:pStyle w:val="ListParagraph"/>
        <w:numPr>
          <w:ilvl w:val="1"/>
          <w:numId w:val="1"/>
        </w:numPr>
        <w:spacing w:after="40"/>
      </w:pPr>
      <w:r>
        <w:t xml:space="preserve">Include trust and operating account reconciliation summaries</w:t>
      </w:r>
    </w:p>
    <w:p>
      <w:pPr>
        <w:pStyle w:val="ListParagraph"/>
        <w:numPr>
          <w:ilvl w:val="1"/>
          <w:numId w:val="1"/>
        </w:numPr>
        <w:spacing w:after="40"/>
      </w:pPr>
      <w:r>
        <w:t xml:space="preserve">Add AR aging summary with 30/60/90+ day buckets</w:t>
      </w:r>
    </w:p>
    <w:p>
      <w:pPr>
        <w:pStyle w:val="ListParagraph"/>
        <w:numPr>
          <w:ilvl w:val="1"/>
          <w:numId w:val="1"/>
        </w:numPr>
        <w:spacing w:after="40"/>
      </w:pPr>
      <w:r>
        <w:t xml:space="preserve">Compare actuals to budget and note significant variances</w:t>
      </w:r>
    </w:p>
    <w:p>
      <w:pPr>
        <w:pStyle w:val="ListParagraph"/>
        <w:numPr>
          <w:ilvl w:val="1"/>
          <w:numId w:val="1"/>
        </w:numPr>
        <w:spacing w:after="40"/>
      </w:pPr>
      <w:r>
        <w:t xml:space="preserve">Deliver to managing partner and archive in NetDocuments</w:t>
      </w:r>
    </w:p>
    <w:p>
      <w:pPr>
        <w:pStyle w:val="Heading2"/>
        <w:spacing w:after="100" w:before="240"/>
      </w:pPr>
      <w:r>
        <w:t xml:space="preserve">Completion Checklist</w:t>
      </w:r>
    </w:p>
    <w:p>
      <w:pPr>
        <w:spacing w:after="40"/>
      </w:pPr>
      <w:r>
        <w:t xml:space="preserve">☐  Time entry deadline reminder sent 5 days before month-end</w:t>
      </w:r>
    </w:p>
    <w:p>
      <w:pPr>
        <w:spacing w:after="40"/>
      </w:pPr>
      <w:r>
        <w:t xml:space="preserve">☐  All attorney time entries finalized by deadline</w:t>
      </w:r>
    </w:p>
    <w:p>
      <w:pPr>
        <w:spacing w:after="40"/>
      </w:pPr>
      <w:r>
        <w:t xml:space="preserve">☐  Billing period locked in Clio</w:t>
      </w:r>
    </w:p>
    <w:p>
      <w:pPr>
        <w:spacing w:after="40"/>
      </w:pPr>
      <w:r>
        <w:t xml:space="preserve">☐  Pre-bills generated and routed to attorneys for review</w:t>
      </w:r>
    </w:p>
    <w:p>
      <w:pPr>
        <w:spacing w:after="40"/>
      </w:pPr>
      <w:r>
        <w:t xml:space="preserve">☐  Attorney pre-bill approvals received within 2 business days</w:t>
      </w:r>
    </w:p>
    <w:p>
      <w:pPr>
        <w:spacing w:after="40"/>
      </w:pPr>
      <w:r>
        <w:t xml:space="preserve">☐  Invoices finalized and distributed to clients</w:t>
      </w:r>
    </w:p>
    <w:p>
      <w:pPr>
        <w:spacing w:after="40"/>
      </w:pPr>
      <w:r>
        <w:t xml:space="preserve">☐  E-billing submissions completed for applicable clients</w:t>
      </w:r>
    </w:p>
    <w:p>
      <w:pPr>
        <w:spacing w:after="40"/>
      </w:pPr>
      <w:r>
        <w:t xml:space="preserve">☐  Trust account three-way reconciliation completed and balanced</w:t>
      </w:r>
    </w:p>
    <w:p>
      <w:pPr>
        <w:spacing w:after="40"/>
      </w:pPr>
      <w:r>
        <w:t xml:space="preserve">☐  Operating account reconciled against general ledger</w:t>
      </w:r>
    </w:p>
    <w:p>
      <w:pPr>
        <w:spacing w:after="40"/>
      </w:pPr>
      <w:r>
        <w:t xml:space="preserve">☐  AR aging report reviewed — 90+ day invoices escalated</w:t>
      </w:r>
    </w:p>
    <w:p>
      <w:pPr>
        <w:spacing w:after="40"/>
      </w:pPr>
      <w:r>
        <w:t xml:space="preserve">☐  Write-off recommendations presented to managing partner</w:t>
      </w:r>
    </w:p>
    <w:p>
      <w:pPr>
        <w:spacing w:after="40"/>
      </w:pPr>
      <w:r>
        <w:t xml:space="preserve">☐  Monthly financial summary delivered within 5 business days</w:t>
      </w:r>
    </w:p>
    <w:p>
      <w:pPr>
        <w:spacing w:after="40"/>
      </w:pPr>
      <w:r>
        <w:t xml:space="preserve">☐  All reports archived in NetDocuments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Close completion time</w:t>
            </w:r>
          </w:p>
        </w:tc>
        <w:tc>
          <w:tcPr>
            <w:tcMar>
              <w:top w:type="dxa" w:w="60"/>
              <w:left w:type="dxa" w:w="120"/>
              <w:bottom w:type="dxa" w:w="60"/>
              <w:right w:type="dxa" w:w="120"/>
            </w:tcMar>
          </w:tcPr>
          <w:p>
            <w:r>
              <w:rPr>
                <w:b w:val="false"/>
                <w:bCs w:val="false"/>
              </w:rPr>
              <w:t xml:space="preserve">Within 5 business days of month-end</w:t>
            </w:r>
          </w:p>
        </w:tc>
      </w:tr>
      <w:tr>
        <w:trPr>
          <w:tblHeader w:val="false"/>
        </w:trPr>
        <w:tc>
          <w:tcPr>
            <w:tcMar>
              <w:top w:type="dxa" w:w="60"/>
              <w:left w:type="dxa" w:w="120"/>
              <w:bottom w:type="dxa" w:w="60"/>
              <w:right w:type="dxa" w:w="120"/>
            </w:tcMar>
          </w:tcPr>
          <w:p>
            <w:r>
              <w:rPr>
                <w:b w:val="false"/>
                <w:bCs w:val="false"/>
              </w:rPr>
              <w:t xml:space="preserve">Trust account reconciliation discrepancies</w:t>
            </w:r>
          </w:p>
        </w:tc>
        <w:tc>
          <w:tcPr>
            <w:tcMar>
              <w:top w:type="dxa" w:w="60"/>
              <w:left w:type="dxa" w:w="120"/>
              <w:bottom w:type="dxa" w:w="60"/>
              <w:right w:type="dxa" w:w="120"/>
            </w:tcMar>
          </w:tcPr>
          <w:p>
            <w:r>
              <w:rPr>
                <w:b w:val="false"/>
                <w:bCs w:val="false"/>
              </w:rPr>
              <w:t xml:space="preserve">Zero unresolved discrepancies</w:t>
            </w:r>
          </w:p>
        </w:tc>
      </w:tr>
      <w:tr>
        <w:trPr>
          <w:tblHeader w:val="false"/>
        </w:trPr>
        <w:tc>
          <w:tcPr>
            <w:tcMar>
              <w:top w:type="dxa" w:w="60"/>
              <w:left w:type="dxa" w:w="120"/>
              <w:bottom w:type="dxa" w:w="60"/>
              <w:right w:type="dxa" w:w="120"/>
            </w:tcMar>
          </w:tcPr>
          <w:p>
            <w:r>
              <w:rPr>
                <w:b w:val="false"/>
                <w:bCs w:val="false"/>
              </w:rPr>
              <w:t xml:space="preserve">Attorney time entry compliance</w:t>
            </w:r>
          </w:p>
        </w:tc>
        <w:tc>
          <w:tcPr>
            <w:tcMar>
              <w:top w:type="dxa" w:w="60"/>
              <w:left w:type="dxa" w:w="120"/>
              <w:bottom w:type="dxa" w:w="60"/>
              <w:right w:type="dxa" w:w="120"/>
            </w:tcMar>
          </w:tcPr>
          <w:p>
            <w:r>
              <w:rPr>
                <w:b w:val="false"/>
                <w:bCs w:val="false"/>
              </w:rPr>
              <w:t xml:space="preserve">95% of attorneys submit by deadline</w:t>
            </w:r>
          </w:p>
        </w:tc>
      </w:tr>
      <w:tr>
        <w:trPr>
          <w:tblHeader w:val="false"/>
        </w:trPr>
        <w:tc>
          <w:tcPr>
            <w:tcMar>
              <w:top w:type="dxa" w:w="60"/>
              <w:left w:type="dxa" w:w="120"/>
              <w:bottom w:type="dxa" w:w="60"/>
              <w:right w:type="dxa" w:w="120"/>
            </w:tcMar>
          </w:tcPr>
          <w:p>
            <w:r>
              <w:rPr>
                <w:b w:val="false"/>
                <w:bCs w:val="false"/>
              </w:rPr>
              <w:t xml:space="preserve">AR over 90 days as percentage of total</w:t>
            </w:r>
          </w:p>
        </w:tc>
        <w:tc>
          <w:tcPr>
            <w:tcMar>
              <w:top w:type="dxa" w:w="60"/>
              <w:left w:type="dxa" w:w="120"/>
              <w:bottom w:type="dxa" w:w="60"/>
              <w:right w:type="dxa" w:w="120"/>
            </w:tcMar>
          </w:tcPr>
          <w:p>
            <w:r>
              <w:rPr>
                <w:b w:val="false"/>
                <w:bCs w:val="false"/>
              </w:rPr>
              <w:t xml:space="preserve">Under 15%</w:t>
            </w:r>
          </w:p>
        </w:tc>
      </w:tr>
    </w:tbl>
    <w:p>
      <w:pPr>
        <w:pStyle w:val="Heading2"/>
        <w:spacing w:after="100" w:before="240"/>
      </w:pPr>
      <w:r>
        <w:t xml:space="preserve">Revision Schedule</w:t>
      </w:r>
    </w:p>
    <w:p>
      <w:pPr>
        <w:spacing w:after="100"/>
      </w:pPr>
      <w:r>
        <w:t xml:space="preserve">Annually, or after any change to billing software, bank accounts, or trust accounting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Month-End Close SOP Template for Legal Teams</dc:title>
  <dc:creator>Glyde</dc:creator>
  <dc:description>Free month-end close SOP for law firms. Covers trust reconciliation, billing review, and financial reporting procedures.</dc:description>
  <cp:lastModifiedBy>Un-named</cp:lastModifiedBy>
  <cp:revision>1</cp:revision>
  <dcterms:created xsi:type="dcterms:W3CDTF">2026-07-22T08:34:35.853Z</dcterms:created>
  <dcterms:modified xsi:type="dcterms:W3CDTF">2026-07-22T08:34:35.853Z</dcterms:modified>
</cp:coreProperties>
</file>

<file path=docProps/custom.xml><?xml version="1.0" encoding="utf-8"?>
<Properties xmlns="http://schemas.openxmlformats.org/officeDocument/2006/custom-properties" xmlns:vt="http://schemas.openxmlformats.org/officeDocument/2006/docPropsVTypes"/>
</file>