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Month-End Close SOP Template for Nonprofit Teams</w:t>
      </w:r>
    </w:p>
    <w:p>
      <w:pPr>
        <w:spacing w:after="200"/>
      </w:pPr>
      <w:r>
        <w:rPr>
          <w:i/>
          <w:iCs/>
          <w:color w:val="6B7280"/>
        </w:rPr>
        <w:t xml:space="preserve">Free month-end close SOP for nonprofits. Covers grant expense reconciliation, fund accounting, and funder reporting preparation.</w:t>
      </w:r>
    </w:p>
    <w:p>
      <w:pPr>
        <w:pStyle w:val="Heading2"/>
        <w:spacing w:after="100" w:before="240"/>
      </w:pPr>
      <w:r>
        <w:t xml:space="preserve">Purpose</w:t>
      </w:r>
    </w:p>
    <w:p>
      <w:pPr>
        <w:spacing w:after="100"/>
      </w:pPr>
      <w:r>
        <w:t xml:space="preserve">Close the books accurately each month so that grant balances are current, fund restrictions are properly tracked, and financial reports to the board and funders reflect reality. Nonprofit accounting requires fund-level accuracy that for-profit close processes don't address.</w:t>
      </w:r>
    </w:p>
    <w:p>
      <w:pPr>
        <w:pStyle w:val="Heading2"/>
        <w:spacing w:after="100" w:before="240"/>
      </w:pPr>
      <w:r>
        <w:t xml:space="preserve">Scope</w:t>
      </w:r>
    </w:p>
    <w:p>
      <w:pPr>
        <w:spacing w:after="100"/>
      </w:pPr>
      <w:r>
        <w:t xml:space="preserve">Covers the monthly financial close process including revenue recognition, expense reconciliation, grant tracking, fund balance verification, and management reporting. Does not cover the annual audit or Form 990 preparation.</w:t>
      </w:r>
    </w:p>
    <w:p>
      <w:pPr>
        <w:pStyle w:val="Heading2"/>
        <w:spacing w:after="100" w:before="240"/>
      </w:pPr>
      <w:r>
        <w:t xml:space="preserve">Prerequisites</w:t>
      </w:r>
    </w:p>
    <w:p>
      <w:pPr>
        <w:pStyle w:val="ListParagraph"/>
        <w:numPr>
          <w:ilvl w:val="0"/>
          <w:numId w:val="1"/>
        </w:numPr>
        <w:spacing w:after="40"/>
      </w:pPr>
      <w:r>
        <w:t xml:space="preserve">Fund accounting software configured with all active grants and funds</w:t>
      </w:r>
    </w:p>
    <w:p>
      <w:pPr>
        <w:pStyle w:val="ListParagraph"/>
        <w:numPr>
          <w:ilvl w:val="0"/>
          <w:numId w:val="1"/>
        </w:numPr>
        <w:spacing w:after="40"/>
      </w:pPr>
      <w:r>
        <w:t xml:space="preserve">Chart of accounts with cost centers mapped to grants and programs</w:t>
      </w:r>
    </w:p>
    <w:p>
      <w:pPr>
        <w:pStyle w:val="ListParagraph"/>
        <w:numPr>
          <w:ilvl w:val="0"/>
          <w:numId w:val="1"/>
        </w:numPr>
        <w:spacing w:after="40"/>
      </w:pPr>
      <w:r>
        <w:t xml:space="preserve">Bank and credit card statements received for the month</w:t>
      </w:r>
    </w:p>
    <w:p>
      <w:pPr>
        <w:pStyle w:val="ListParagraph"/>
        <w:numPr>
          <w:ilvl w:val="0"/>
          <w:numId w:val="1"/>
        </w:numPr>
        <w:spacing w:after="40"/>
      </w:pPr>
      <w:r>
        <w:t xml:space="preserve">All staff expense reports and timesheets submitted</w:t>
      </w:r>
    </w:p>
    <w:p>
      <w:pPr>
        <w:pStyle w:val="ListParagraph"/>
        <w:numPr>
          <w:ilvl w:val="0"/>
          <w:numId w:val="1"/>
        </w:numPr>
        <w:spacing w:after="40"/>
      </w:pPr>
      <w:r>
        <w:t xml:space="preserve">Grant budgets loaded into the accounting system</w:t>
      </w:r>
    </w:p>
    <w:p>
      <w:pPr>
        <w:pStyle w:val="Heading2"/>
        <w:spacing w:after="100" w:before="240"/>
      </w:pPr>
      <w:r>
        <w:t xml:space="preserve">Roles &amp; Responsibilities</w:t>
      </w:r>
    </w:p>
    <w:p>
      <w:pPr>
        <w:spacing w:after="40" w:before="120"/>
      </w:pPr>
      <w:r>
        <w:rPr>
          <w:b/>
          <w:bCs/>
        </w:rPr>
        <w:t xml:space="preserve">Finance Director</w:t>
      </w:r>
    </w:p>
    <w:p>
      <w:pPr>
        <w:pStyle w:val="ListParagraph"/>
        <w:numPr>
          <w:ilvl w:val="0"/>
          <w:numId w:val="1"/>
        </w:numPr>
        <w:spacing w:after="40"/>
      </w:pPr>
      <w:r>
        <w:t xml:space="preserve">Review and approve all month-end journal entries</w:t>
      </w:r>
    </w:p>
    <w:p>
      <w:pPr>
        <w:pStyle w:val="ListParagraph"/>
        <w:numPr>
          <w:ilvl w:val="0"/>
          <w:numId w:val="1"/>
        </w:numPr>
        <w:spacing w:after="40"/>
      </w:pPr>
      <w:r>
        <w:t xml:space="preserve">Prepare the monthly financial package for the board</w:t>
      </w:r>
    </w:p>
    <w:p>
      <w:pPr>
        <w:pStyle w:val="ListParagraph"/>
        <w:numPr>
          <w:ilvl w:val="0"/>
          <w:numId w:val="1"/>
        </w:numPr>
        <w:spacing w:after="40"/>
      </w:pPr>
      <w:r>
        <w:t xml:space="preserve">Analyze grant budget vs. actual and flag variances</w:t>
      </w:r>
    </w:p>
    <w:p>
      <w:pPr>
        <w:spacing w:after="40" w:before="120"/>
      </w:pPr>
      <w:r>
        <w:rPr>
          <w:b/>
          <w:bCs/>
        </w:rPr>
        <w:t xml:space="preserve">Staff Accountant / Bookkeeper</w:t>
      </w:r>
    </w:p>
    <w:p>
      <w:pPr>
        <w:pStyle w:val="ListParagraph"/>
        <w:numPr>
          <w:ilvl w:val="0"/>
          <w:numId w:val="1"/>
        </w:numPr>
        <w:spacing w:after="40"/>
      </w:pPr>
      <w:r>
        <w:t xml:space="preserve">Reconcile bank and credit card accounts</w:t>
      </w:r>
    </w:p>
    <w:p>
      <w:pPr>
        <w:pStyle w:val="ListParagraph"/>
        <w:numPr>
          <w:ilvl w:val="0"/>
          <w:numId w:val="1"/>
        </w:numPr>
        <w:spacing w:after="40"/>
      </w:pPr>
      <w:r>
        <w:t xml:space="preserve">Post revenue, expenses, and payroll entries</w:t>
      </w:r>
    </w:p>
    <w:p>
      <w:pPr>
        <w:pStyle w:val="ListParagraph"/>
        <w:numPr>
          <w:ilvl w:val="0"/>
          <w:numId w:val="1"/>
        </w:numPr>
        <w:spacing w:after="40"/>
      </w:pPr>
      <w:r>
        <w:t xml:space="preserve">Prepare grant financial reports</w:t>
      </w:r>
    </w:p>
    <w:p>
      <w:pPr>
        <w:spacing w:after="40" w:before="120"/>
      </w:pPr>
      <w:r>
        <w:rPr>
          <w:b/>
          <w:bCs/>
        </w:rPr>
        <w:t xml:space="preserve">Program Directors</w:t>
      </w:r>
    </w:p>
    <w:p>
      <w:pPr>
        <w:pStyle w:val="ListParagraph"/>
        <w:numPr>
          <w:ilvl w:val="0"/>
          <w:numId w:val="1"/>
        </w:numPr>
        <w:spacing w:after="40"/>
      </w:pPr>
      <w:r>
        <w:t xml:space="preserve">Review program expenses for accuracy and coding</w:t>
      </w:r>
    </w:p>
    <w:p>
      <w:pPr>
        <w:pStyle w:val="ListParagraph"/>
        <w:numPr>
          <w:ilvl w:val="0"/>
          <w:numId w:val="1"/>
        </w:numPr>
        <w:spacing w:after="40"/>
      </w:pPr>
      <w:r>
        <w:t xml:space="preserve">Confirm revenue recognition for program fees</w:t>
      </w:r>
    </w:p>
    <w:p>
      <w:pPr>
        <w:pStyle w:val="ListParagraph"/>
        <w:numPr>
          <w:ilvl w:val="0"/>
          <w:numId w:val="1"/>
        </w:numPr>
        <w:spacing w:after="40"/>
      </w:pPr>
      <w:r>
        <w:t xml:space="preserve">Approve cost allocations to their programs</w:t>
      </w:r>
    </w:p>
    <w:p>
      <w:pPr>
        <w:pStyle w:val="Heading2"/>
        <w:spacing w:after="100" w:before="240"/>
      </w:pPr>
      <w:r>
        <w:t xml:space="preserve">Procedure</w:t>
      </w:r>
    </w:p>
    <w:p>
      <w:pPr>
        <w:pStyle w:val="Heading3"/>
        <w:spacing w:after="40" w:before="160"/>
      </w:pPr>
      <w:r>
        <w:t xml:space="preserve">Step 1: Post all revenue and receivables</w:t>
      </w:r>
    </w:p>
    <w:p>
      <w:pPr>
        <w:spacing w:after="100"/>
      </w:pPr>
      <w:r>
        <w:t xml:space="preserve">Record all revenue received during the month by fund: unrestricted contributions, temporarily restricted grants, permanently restricted endowment gifts, program fees, and other earned revenue. For multi-year grants, recognize revenue per the organization's revenue recognition policy (ASC 958 — either conditional or unconditional). Post all pledges receivable and reconcile the AR aging.</w:t>
      </w:r>
    </w:p>
    <w:p>
      <w:pPr>
        <w:pStyle w:val="ListParagraph"/>
        <w:numPr>
          <w:ilvl w:val="1"/>
          <w:numId w:val="1"/>
        </w:numPr>
        <w:spacing w:after="40"/>
      </w:pPr>
      <w:r>
        <w:t xml:space="preserve">Post unrestricted contributions and donations received</w:t>
      </w:r>
    </w:p>
    <w:p>
      <w:pPr>
        <w:pStyle w:val="ListParagraph"/>
        <w:numPr>
          <w:ilvl w:val="1"/>
          <w:numId w:val="1"/>
        </w:numPr>
        <w:spacing w:after="40"/>
      </w:pPr>
      <w:r>
        <w:t xml:space="preserve">Record restricted grant revenue per the revenue recognition policy</w:t>
      </w:r>
    </w:p>
    <w:p>
      <w:pPr>
        <w:pStyle w:val="ListParagraph"/>
        <w:numPr>
          <w:ilvl w:val="1"/>
          <w:numId w:val="1"/>
        </w:numPr>
        <w:spacing w:after="40"/>
      </w:pPr>
      <w:r>
        <w:t xml:space="preserve">Post program service fees and earned revenue</w:t>
      </w:r>
    </w:p>
    <w:p>
      <w:pPr>
        <w:pStyle w:val="ListParagraph"/>
        <w:numPr>
          <w:ilvl w:val="1"/>
          <w:numId w:val="1"/>
        </w:numPr>
        <w:spacing w:after="40"/>
      </w:pPr>
      <w:r>
        <w:t xml:space="preserve">Reconcile pledges receivable and AR aging</w:t>
      </w:r>
    </w:p>
    <w:p>
      <w:pPr>
        <w:pStyle w:val="ListParagraph"/>
        <w:numPr>
          <w:ilvl w:val="1"/>
          <w:numId w:val="1"/>
        </w:numPr>
        <w:spacing w:after="40"/>
      </w:pPr>
      <w:r>
        <w:t xml:space="preserve">Verify revenue is coded to the correct fund and program</w:t>
      </w:r>
    </w:p>
    <w:p>
      <w:pPr>
        <w:pStyle w:val="Heading3"/>
        <w:spacing w:after="40" w:before="160"/>
      </w:pPr>
      <w:r>
        <w:t xml:space="preserve">Step 2: Post all expenses and payables</w:t>
      </w:r>
    </w:p>
    <w:p>
      <w:pPr>
        <w:spacing w:after="100"/>
      </w:pPr>
      <w:r>
        <w:t xml:space="preserve">Ensure all expenses for the month are recorded: vendor invoices, credit card charges, payroll and benefits, and staff expense reimbursements. Verify expense coding — every charge must be coded to the correct grant/fund and cost center. For grant-funded expenses, verify allowability before posting.</w:t>
      </w:r>
    </w:p>
    <w:p>
      <w:pPr>
        <w:pStyle w:val="ListParagraph"/>
        <w:numPr>
          <w:ilvl w:val="1"/>
          <w:numId w:val="1"/>
        </w:numPr>
        <w:spacing w:after="40"/>
      </w:pPr>
      <w:r>
        <w:t xml:space="preserve">Post all vendor invoices received during the month</w:t>
      </w:r>
    </w:p>
    <w:p>
      <w:pPr>
        <w:pStyle w:val="ListParagraph"/>
        <w:numPr>
          <w:ilvl w:val="1"/>
          <w:numId w:val="1"/>
        </w:numPr>
        <w:spacing w:after="40"/>
      </w:pPr>
      <w:r>
        <w:t xml:space="preserve">Reconcile and post credit card charges by fund and program</w:t>
      </w:r>
    </w:p>
    <w:p>
      <w:pPr>
        <w:pStyle w:val="ListParagraph"/>
        <w:numPr>
          <w:ilvl w:val="1"/>
          <w:numId w:val="1"/>
        </w:numPr>
        <w:spacing w:after="40"/>
      </w:pPr>
      <w:r>
        <w:t xml:space="preserve">Post payroll entries with correct grant cost allocations</w:t>
      </w:r>
    </w:p>
    <w:p>
      <w:pPr>
        <w:pStyle w:val="ListParagraph"/>
        <w:numPr>
          <w:ilvl w:val="1"/>
          <w:numId w:val="1"/>
        </w:numPr>
        <w:spacing w:after="40"/>
      </w:pPr>
      <w:r>
        <w:t xml:space="preserve">Process staff expense reimbursements</w:t>
      </w:r>
    </w:p>
    <w:p>
      <w:pPr>
        <w:pStyle w:val="ListParagraph"/>
        <w:numPr>
          <w:ilvl w:val="1"/>
          <w:numId w:val="1"/>
        </w:numPr>
        <w:spacing w:after="40"/>
      </w:pPr>
      <w:r>
        <w:t xml:space="preserve">Verify expense coding to correct grants and cost centers</w:t>
      </w:r>
    </w:p>
    <w:p>
      <w:pPr>
        <w:pStyle w:val="ListParagraph"/>
        <w:numPr>
          <w:ilvl w:val="1"/>
          <w:numId w:val="1"/>
        </w:numPr>
        <w:spacing w:after="40"/>
      </w:pPr>
      <w:r>
        <w:t xml:space="preserve">Accrue expenses incurred but not yet invoiced</w:t>
      </w:r>
    </w:p>
    <w:p>
      <w:pPr>
        <w:pStyle w:val="Heading3"/>
        <w:spacing w:after="40" w:before="160"/>
      </w:pPr>
      <w:r>
        <w:t xml:space="preserve">Step 3: Reconcile bank and investment accounts</w:t>
      </w:r>
    </w:p>
    <w:p>
      <w:pPr>
        <w:spacing w:after="100"/>
      </w:pPr>
      <w:r>
        <w:t xml:space="preserve">Reconcile all bank accounts, credit cards, and investment accounts to the general ledger. Investigate and clear all reconciling items. For organizations with multiple bank accounts (operating, payroll, restricted), reconcile each account separately.</w:t>
      </w:r>
    </w:p>
    <w:p>
      <w:pPr>
        <w:pStyle w:val="ListParagraph"/>
        <w:numPr>
          <w:ilvl w:val="1"/>
          <w:numId w:val="1"/>
        </w:numPr>
        <w:spacing w:after="40"/>
      </w:pPr>
      <w:r>
        <w:t xml:space="preserve">Reconcile each bank account to the bank statement</w:t>
      </w:r>
    </w:p>
    <w:p>
      <w:pPr>
        <w:pStyle w:val="ListParagraph"/>
        <w:numPr>
          <w:ilvl w:val="1"/>
          <w:numId w:val="1"/>
        </w:numPr>
        <w:spacing w:after="40"/>
      </w:pPr>
      <w:r>
        <w:t xml:space="preserve">Reconcile credit card accounts to statements</w:t>
      </w:r>
    </w:p>
    <w:p>
      <w:pPr>
        <w:pStyle w:val="ListParagraph"/>
        <w:numPr>
          <w:ilvl w:val="1"/>
          <w:numId w:val="1"/>
        </w:numPr>
        <w:spacing w:after="40"/>
      </w:pPr>
      <w:r>
        <w:t xml:space="preserve">Reconcile investment accounts to custodian statements</w:t>
      </w:r>
    </w:p>
    <w:p>
      <w:pPr>
        <w:pStyle w:val="ListParagraph"/>
        <w:numPr>
          <w:ilvl w:val="1"/>
          <w:numId w:val="1"/>
        </w:numPr>
        <w:spacing w:after="40"/>
      </w:pPr>
      <w:r>
        <w:t xml:space="preserve">Investigate and resolve all reconciling items</w:t>
      </w:r>
    </w:p>
    <w:p>
      <w:pPr>
        <w:pStyle w:val="ListParagraph"/>
        <w:numPr>
          <w:ilvl w:val="1"/>
          <w:numId w:val="1"/>
        </w:numPr>
        <w:spacing w:after="40"/>
      </w:pPr>
      <w:r>
        <w:t xml:space="preserve">Post any adjusting entries identified during reconciliation</w:t>
      </w:r>
    </w:p>
    <w:p>
      <w:pPr>
        <w:pStyle w:val="ListParagraph"/>
        <w:numPr>
          <w:ilvl w:val="1"/>
          <w:numId w:val="1"/>
        </w:numPr>
        <w:spacing w:after="40"/>
      </w:pPr>
      <w:r>
        <w:t xml:space="preserve">Document reconciliations with preparer and reviewer sign-off</w:t>
      </w:r>
    </w:p>
    <w:p>
      <w:pPr>
        <w:pStyle w:val="Heading3"/>
        <w:spacing w:after="40" w:before="160"/>
      </w:pPr>
      <w:r>
        <w:t xml:space="preserve">Step 4: Allocate shared costs across programs and grants</w:t>
      </w:r>
    </w:p>
    <w:p>
      <w:pPr>
        <w:spacing w:after="100"/>
      </w:pPr>
      <w:r>
        <w:t xml:space="preserve">Allocate indirect costs (rent, utilities, insurance, shared staff) across programs and grants using the approved cost allocation methodology. The allocation basis must be reasonable and consistently applied — common methods include direct labor hours, square footage, or modified total direct costs. Document the allocation calculation.</w:t>
      </w:r>
    </w:p>
    <w:p>
      <w:pPr>
        <w:pStyle w:val="ListParagraph"/>
        <w:numPr>
          <w:ilvl w:val="1"/>
          <w:numId w:val="1"/>
        </w:numPr>
        <w:spacing w:after="40"/>
      </w:pPr>
      <w:r>
        <w:t xml:space="preserve">Calculate the allocation for each shared cost category</w:t>
      </w:r>
    </w:p>
    <w:p>
      <w:pPr>
        <w:pStyle w:val="ListParagraph"/>
        <w:numPr>
          <w:ilvl w:val="1"/>
          <w:numId w:val="1"/>
        </w:numPr>
        <w:spacing w:after="40"/>
      </w:pPr>
      <w:r>
        <w:t xml:space="preserve">Apply the approved allocation methodology consistently</w:t>
      </w:r>
    </w:p>
    <w:p>
      <w:pPr>
        <w:pStyle w:val="ListParagraph"/>
        <w:numPr>
          <w:ilvl w:val="1"/>
          <w:numId w:val="1"/>
        </w:numPr>
        <w:spacing w:after="40"/>
      </w:pPr>
      <w:r>
        <w:t xml:space="preserve">Post allocation journal entries by fund and program</w:t>
      </w:r>
    </w:p>
    <w:p>
      <w:pPr>
        <w:pStyle w:val="ListParagraph"/>
        <w:numPr>
          <w:ilvl w:val="1"/>
          <w:numId w:val="1"/>
        </w:numPr>
        <w:spacing w:after="40"/>
      </w:pPr>
      <w:r>
        <w:t xml:space="preserve">Document the allocation calculation and methodology</w:t>
      </w:r>
    </w:p>
    <w:p>
      <w:pPr>
        <w:pStyle w:val="ListParagraph"/>
        <w:numPr>
          <w:ilvl w:val="1"/>
          <w:numId w:val="1"/>
        </w:numPr>
        <w:spacing w:after="40"/>
      </w:pPr>
      <w:r>
        <w:t xml:space="preserve">Verify allocated costs don't exceed any grant's indirect cost rate cap</w:t>
      </w:r>
    </w:p>
    <w:p>
      <w:pPr>
        <w:spacing w:after="100"/>
      </w:pPr>
      <w:r>
        <w:rPr>
          <w:i/>
          <w:iCs/>
          <w:color w:val="B45309"/>
        </w:rPr>
        <w:t xml:space="preserve">Warning: Grant funders audit cost allocation closely. If your methodology changes from month to month, or if you allocate costs to a grant after the fact to use up budget, auditors will flag it. Pick a methodology, document it, and apply it consistently.</w:t>
      </w:r>
    </w:p>
    <w:p>
      <w:pPr>
        <w:pStyle w:val="Heading3"/>
        <w:spacing w:after="40" w:before="160"/>
      </w:pPr>
      <w:r>
        <w:t xml:space="preserve">Step 5: Review grant budget vs. actual</w:t>
      </w:r>
    </w:p>
    <w:p>
      <w:pPr>
        <w:spacing w:after="100"/>
      </w:pPr>
      <w:r>
        <w:t xml:space="preserve">For each active grant, compare actual expenses to the approved budget by line item. Flag grants where any line item is more than 10% over budget or where the overall spending rate doesn't match the grant timeline. Many funders require prior approval for budget modifications exceeding 10% of a line item.</w:t>
      </w:r>
    </w:p>
    <w:p>
      <w:pPr>
        <w:pStyle w:val="ListParagraph"/>
        <w:numPr>
          <w:ilvl w:val="1"/>
          <w:numId w:val="1"/>
        </w:numPr>
        <w:spacing w:after="40"/>
      </w:pPr>
      <w:r>
        <w:t xml:space="preserve">Pull budget vs. actual reports for each active grant</w:t>
      </w:r>
    </w:p>
    <w:p>
      <w:pPr>
        <w:pStyle w:val="ListParagraph"/>
        <w:numPr>
          <w:ilvl w:val="1"/>
          <w:numId w:val="1"/>
        </w:numPr>
        <w:spacing w:after="40"/>
      </w:pPr>
      <w:r>
        <w:t xml:space="preserve">Flag line items exceeding the approved budget by more than 10%</w:t>
      </w:r>
    </w:p>
    <w:p>
      <w:pPr>
        <w:pStyle w:val="ListParagraph"/>
        <w:numPr>
          <w:ilvl w:val="1"/>
          <w:numId w:val="1"/>
        </w:numPr>
        <w:spacing w:after="40"/>
      </w:pPr>
      <w:r>
        <w:t xml:space="preserve">Assess overall spending rate against the grant timeline</w:t>
      </w:r>
    </w:p>
    <w:p>
      <w:pPr>
        <w:pStyle w:val="ListParagraph"/>
        <w:numPr>
          <w:ilvl w:val="1"/>
          <w:numId w:val="1"/>
        </w:numPr>
        <w:spacing w:after="40"/>
      </w:pPr>
      <w:r>
        <w:t xml:space="preserve">Identify grants at risk of underspending at period end</w:t>
      </w:r>
    </w:p>
    <w:p>
      <w:pPr>
        <w:pStyle w:val="ListParagraph"/>
        <w:numPr>
          <w:ilvl w:val="1"/>
          <w:numId w:val="1"/>
        </w:numPr>
        <w:spacing w:after="40"/>
      </w:pPr>
      <w:r>
        <w:t xml:space="preserve">Prepare budget modification requests for funder approval if needed</w:t>
      </w:r>
    </w:p>
    <w:p>
      <w:pPr>
        <w:pStyle w:val="ListParagraph"/>
        <w:numPr>
          <w:ilvl w:val="1"/>
          <w:numId w:val="1"/>
        </w:numPr>
        <w:spacing w:after="40"/>
      </w:pPr>
      <w:r>
        <w:t xml:space="preserve">Document variance analysis and corrective actions</w:t>
      </w:r>
    </w:p>
    <w:p>
      <w:pPr>
        <w:pStyle w:val="Heading3"/>
        <w:spacing w:after="40" w:before="160"/>
      </w:pPr>
      <w:r>
        <w:t xml:space="preserve">Step 6: Prepare financial reports and close the period</w:t>
      </w:r>
    </w:p>
    <w:p>
      <w:pPr>
        <w:spacing w:after="100"/>
      </w:pPr>
      <w:r>
        <w:t xml:space="preserve">Generate the monthly financial package: statement of financial position, statement of activities (by fund/program), budget vs. actual by grant, and cash flow. Review for reasonableness, correct any errors, and lock the period. Distribute to the executive director and prepare the board-ready package for the next board meeting.</w:t>
      </w:r>
    </w:p>
    <w:p>
      <w:pPr>
        <w:pStyle w:val="ListParagraph"/>
        <w:numPr>
          <w:ilvl w:val="1"/>
          <w:numId w:val="1"/>
        </w:numPr>
        <w:spacing w:after="40"/>
      </w:pPr>
      <w:r>
        <w:t xml:space="preserve">Generate the statement of financial position (balance sheet)</w:t>
      </w:r>
    </w:p>
    <w:p>
      <w:pPr>
        <w:pStyle w:val="ListParagraph"/>
        <w:numPr>
          <w:ilvl w:val="1"/>
          <w:numId w:val="1"/>
        </w:numPr>
        <w:spacing w:after="40"/>
      </w:pPr>
      <w:r>
        <w:t xml:space="preserve">Generate the statement of activities by natural classification and function</w:t>
      </w:r>
    </w:p>
    <w:p>
      <w:pPr>
        <w:pStyle w:val="ListParagraph"/>
        <w:numPr>
          <w:ilvl w:val="1"/>
          <w:numId w:val="1"/>
        </w:numPr>
        <w:spacing w:after="40"/>
      </w:pPr>
      <w:r>
        <w:t xml:space="preserve">Prepare the grant budget vs. actual summary</w:t>
      </w:r>
    </w:p>
    <w:p>
      <w:pPr>
        <w:pStyle w:val="ListParagraph"/>
        <w:numPr>
          <w:ilvl w:val="1"/>
          <w:numId w:val="1"/>
        </w:numPr>
        <w:spacing w:after="40"/>
      </w:pPr>
      <w:r>
        <w:t xml:space="preserve">Review all reports for reasonableness and accuracy</w:t>
      </w:r>
    </w:p>
    <w:p>
      <w:pPr>
        <w:pStyle w:val="ListParagraph"/>
        <w:numPr>
          <w:ilvl w:val="1"/>
          <w:numId w:val="1"/>
        </w:numPr>
        <w:spacing w:after="40"/>
      </w:pPr>
      <w:r>
        <w:t xml:space="preserve">Lock the accounting period to prevent retroactive changes</w:t>
      </w:r>
    </w:p>
    <w:p>
      <w:pPr>
        <w:pStyle w:val="ListParagraph"/>
        <w:numPr>
          <w:ilvl w:val="1"/>
          <w:numId w:val="1"/>
        </w:numPr>
        <w:spacing w:after="40"/>
      </w:pPr>
      <w:r>
        <w:t xml:space="preserve">Distribute the monthly financial package to the executive director</w:t>
      </w:r>
    </w:p>
    <w:p>
      <w:pPr>
        <w:pStyle w:val="ListParagraph"/>
        <w:numPr>
          <w:ilvl w:val="1"/>
          <w:numId w:val="1"/>
        </w:numPr>
        <w:spacing w:after="40"/>
      </w:pPr>
      <w:r>
        <w:t xml:space="preserve">Prepare the board financial report for the next meeting</w:t>
      </w:r>
    </w:p>
    <w:p>
      <w:pPr>
        <w:pStyle w:val="Heading2"/>
        <w:spacing w:after="100" w:before="240"/>
      </w:pPr>
      <w:r>
        <w:t xml:space="preserve">Completion Checklist</w:t>
      </w:r>
    </w:p>
    <w:p>
      <w:pPr>
        <w:spacing w:after="40"/>
      </w:pPr>
      <w:r>
        <w:t xml:space="preserve">☐  All revenue posted by fund with correct restrictions</w:t>
      </w:r>
    </w:p>
    <w:p>
      <w:pPr>
        <w:spacing w:after="40"/>
      </w:pPr>
      <w:r>
        <w:t xml:space="preserve">☐  All expenses posted with correct grant and program coding</w:t>
      </w:r>
    </w:p>
    <w:p>
      <w:pPr>
        <w:spacing w:after="40"/>
      </w:pPr>
      <w:r>
        <w:t xml:space="preserve">☐  Payroll allocated by grant based on time and effort reports</w:t>
      </w:r>
    </w:p>
    <w:p>
      <w:pPr>
        <w:spacing w:after="40"/>
      </w:pPr>
      <w:r>
        <w:t xml:space="preserve">☐  Bank accounts reconciled and documented</w:t>
      </w:r>
    </w:p>
    <w:p>
      <w:pPr>
        <w:spacing w:after="40"/>
      </w:pPr>
      <w:r>
        <w:t xml:space="preserve">☐  Credit card and investment accounts reconciled</w:t>
      </w:r>
    </w:p>
    <w:p>
      <w:pPr>
        <w:spacing w:after="40"/>
      </w:pPr>
      <w:r>
        <w:t xml:space="preserve">☐  Shared costs allocated using approved methodology</w:t>
      </w:r>
    </w:p>
    <w:p>
      <w:pPr>
        <w:spacing w:after="40"/>
      </w:pPr>
      <w:r>
        <w:t xml:space="preserve">☐  Grant budget vs. actual reviewed for all active grants</w:t>
      </w:r>
    </w:p>
    <w:p>
      <w:pPr>
        <w:spacing w:after="40"/>
      </w:pPr>
      <w:r>
        <w:t xml:space="preserve">☐  Over-budget line items flagged and addressed</w:t>
      </w:r>
    </w:p>
    <w:p>
      <w:pPr>
        <w:spacing w:after="40"/>
      </w:pPr>
      <w:r>
        <w:t xml:space="preserve">☐  Spending rate assessed against grant timelines</w:t>
      </w:r>
    </w:p>
    <w:p>
      <w:pPr>
        <w:spacing w:after="40"/>
      </w:pPr>
      <w:r>
        <w:t xml:space="preserve">☐  Financial statements generated and reviewed</w:t>
      </w:r>
    </w:p>
    <w:p>
      <w:pPr>
        <w:spacing w:after="40"/>
      </w:pPr>
      <w:r>
        <w:t xml:space="preserve">☐  Accounting period locked</w:t>
      </w:r>
    </w:p>
    <w:p>
      <w:pPr>
        <w:spacing w:after="40"/>
      </w:pPr>
      <w:r>
        <w:t xml:space="preserve">☐  Monthly financial package distributed to ED and board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date</w:t>
            </w:r>
          </w:p>
        </w:tc>
        <w:tc>
          <w:tcPr>
            <w:tcMar>
              <w:top w:type="dxa" w:w="60"/>
              <w:left w:type="dxa" w:w="120"/>
              <w:bottom w:type="dxa" w:w="60"/>
              <w:right w:type="dxa" w:w="120"/>
            </w:tcMar>
          </w:tcPr>
          <w:p>
            <w:r>
              <w:rPr>
                <w:b w:val="false"/>
                <w:bCs w:val="false"/>
              </w:rPr>
              <w:t xml:space="preserve">Books closed by the 15th of the following month</w:t>
            </w:r>
          </w:p>
        </w:tc>
      </w:tr>
      <w:tr>
        <w:trPr>
          <w:tblHeader w:val="false"/>
        </w:trPr>
        <w:tc>
          <w:tcPr>
            <w:tcMar>
              <w:top w:type="dxa" w:w="60"/>
              <w:left w:type="dxa" w:w="120"/>
              <w:bottom w:type="dxa" w:w="60"/>
              <w:right w:type="dxa" w:w="120"/>
            </w:tcMar>
          </w:tcPr>
          <w:p>
            <w:r>
              <w:rPr>
                <w:b w:val="false"/>
                <w:bCs w:val="false"/>
              </w:rPr>
              <w:t xml:space="preserve">Reconciliation accuracy</w:t>
            </w:r>
          </w:p>
        </w:tc>
        <w:tc>
          <w:tcPr>
            <w:tcMar>
              <w:top w:type="dxa" w:w="60"/>
              <w:left w:type="dxa" w:w="120"/>
              <w:bottom w:type="dxa" w:w="60"/>
              <w:right w:type="dxa" w:w="120"/>
            </w:tcMar>
          </w:tcPr>
          <w:p>
            <w:r>
              <w:rPr>
                <w:b w:val="false"/>
                <w:bCs w:val="false"/>
              </w:rPr>
              <w:t xml:space="preserve">Zero unreconciled items over 30 days old</w:t>
            </w:r>
          </w:p>
        </w:tc>
      </w:tr>
      <w:tr>
        <w:trPr>
          <w:tblHeader w:val="false"/>
        </w:trPr>
        <w:tc>
          <w:tcPr>
            <w:tcMar>
              <w:top w:type="dxa" w:w="60"/>
              <w:left w:type="dxa" w:w="120"/>
              <w:bottom w:type="dxa" w:w="60"/>
              <w:right w:type="dxa" w:w="120"/>
            </w:tcMar>
          </w:tcPr>
          <w:p>
            <w:r>
              <w:rPr>
                <w:b w:val="false"/>
                <w:bCs w:val="false"/>
              </w:rPr>
              <w:t xml:space="preserve">Grant budget compliance</w:t>
            </w:r>
          </w:p>
        </w:tc>
        <w:tc>
          <w:tcPr>
            <w:tcMar>
              <w:top w:type="dxa" w:w="60"/>
              <w:left w:type="dxa" w:w="120"/>
              <w:bottom w:type="dxa" w:w="60"/>
              <w:right w:type="dxa" w:w="120"/>
            </w:tcMar>
          </w:tcPr>
          <w:p>
            <w:r>
              <w:rPr>
                <w:b w:val="false"/>
                <w:bCs w:val="false"/>
              </w:rPr>
              <w:t xml:space="preserve">No line item exceeding approved budget by more than 10%</w:t>
            </w:r>
          </w:p>
        </w:tc>
      </w:tr>
      <w:tr>
        <w:trPr>
          <w:tblHeader w:val="false"/>
        </w:trPr>
        <w:tc>
          <w:tcPr>
            <w:tcMar>
              <w:top w:type="dxa" w:w="60"/>
              <w:left w:type="dxa" w:w="120"/>
              <w:bottom w:type="dxa" w:w="60"/>
              <w:right w:type="dxa" w:w="120"/>
            </w:tcMar>
          </w:tcPr>
          <w:p>
            <w:r>
              <w:rPr>
                <w:b w:val="false"/>
                <w:bCs w:val="false"/>
              </w:rPr>
              <w:t xml:space="preserve">Report distribution</w:t>
            </w:r>
          </w:p>
        </w:tc>
        <w:tc>
          <w:tcPr>
            <w:tcMar>
              <w:top w:type="dxa" w:w="60"/>
              <w:left w:type="dxa" w:w="120"/>
              <w:bottom w:type="dxa" w:w="60"/>
              <w:right w:type="dxa" w:w="120"/>
            </w:tcMar>
          </w:tcPr>
          <w:p>
            <w:r>
              <w:rPr>
                <w:b w:val="false"/>
                <w:bCs w:val="false"/>
              </w:rPr>
              <w:t xml:space="preserve">Financial package to ED within 2 business days of close</w:t>
            </w:r>
          </w:p>
        </w:tc>
      </w:tr>
    </w:tbl>
    <w:p>
      <w:pPr>
        <w:pStyle w:val="Heading2"/>
        <w:spacing w:after="100" w:before="240"/>
      </w:pPr>
      <w:r>
        <w:t xml:space="preserve">Revision Schedule</w:t>
      </w:r>
    </w:p>
    <w:p>
      <w:pPr>
        <w:spacing w:after="100"/>
      </w:pPr>
      <w:r>
        <w:t xml:space="preserve">Annually, or after any audit finding related to financial reporting or grant accounting.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Month-End Close SOP Template for Nonprofit Teams</dc:title>
  <dc:creator>Glyde</dc:creator>
  <dc:description>Free month-end close SOP for nonprofits. Covers grant expense reconciliation, fund accounting, and funder reporting preparation.</dc:description>
  <cp:lastModifiedBy>Un-named</cp:lastModifiedBy>
  <cp:revision>1</cp:revision>
  <dcterms:created xsi:type="dcterms:W3CDTF">2026-07-22T08:34:35.862Z</dcterms:created>
  <dcterms:modified xsi:type="dcterms:W3CDTF">2026-07-22T08:34:35.862Z</dcterms:modified>
</cp:coreProperties>
</file>

<file path=docProps/custom.xml><?xml version="1.0" encoding="utf-8"?>
<Properties xmlns="http://schemas.openxmlformats.org/officeDocument/2006/custom-properties" xmlns:vt="http://schemas.openxmlformats.org/officeDocument/2006/docPropsVTypes"/>
</file>