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Month-End Close for Real Estate</w:t>
      </w:r>
    </w:p>
    <w:p>
      <w:pPr>
        <w:spacing w:after="200"/>
      </w:pPr>
      <w:r>
        <w:rPr>
          <w:i/>
          <w:iCs/>
          <w:color w:val="6B7280"/>
        </w:rPr>
        <w:t xml:space="preserve">Free month-end close SOP for real estate brokerages. Covers commission reconciliation, trust account balancing, and financial reporting.</w:t>
      </w:r>
    </w:p>
    <w:p>
      <w:pPr>
        <w:pStyle w:val="Heading2"/>
        <w:spacing w:after="100" w:before="240"/>
      </w:pPr>
      <w:r>
        <w:t xml:space="preserve">Purpose</w:t>
      </w:r>
    </w:p>
    <w:p>
      <w:pPr>
        <w:spacing w:after="100"/>
      </w:pPr>
      <w:r>
        <w:t xml:space="preserve">Close the brokerage's books monthly so that commission payments are accurate, trust accounts are reconciled per state requirements, and the managing broker has a clear financial picture within 5 business days of month-end.</w:t>
      </w:r>
    </w:p>
    <w:p>
      <w:pPr>
        <w:pStyle w:val="Heading2"/>
        <w:spacing w:after="100" w:before="240"/>
      </w:pPr>
      <w:r>
        <w:t xml:space="preserve">Scope</w:t>
      </w:r>
    </w:p>
    <w:p>
      <w:pPr>
        <w:spacing w:after="100"/>
      </w:pPr>
      <w:r>
        <w:t xml:space="preserve">Covers commission reconciliation, trust/escrow account balancing, operating expense review, and monthly financial reporting. Does not cover annual tax preparation or agent 1099 processing.</w:t>
      </w:r>
    </w:p>
    <w:p>
      <w:pPr>
        <w:pStyle w:val="Heading2"/>
        <w:spacing w:after="100" w:before="240"/>
      </w:pPr>
      <w:r>
        <w:t xml:space="preserve">Prerequisites</w:t>
      </w:r>
    </w:p>
    <w:p>
      <w:pPr>
        <w:pStyle w:val="ListParagraph"/>
        <w:numPr>
          <w:ilvl w:val="0"/>
          <w:numId w:val="1"/>
        </w:numPr>
        <w:spacing w:after="40"/>
      </w:pPr>
      <w:r>
        <w:t xml:space="preserve">All closed transactions for the month entered in Dotloop with final closing statements</w:t>
      </w:r>
    </w:p>
    <w:p>
      <w:pPr>
        <w:pStyle w:val="ListParagraph"/>
        <w:numPr>
          <w:ilvl w:val="0"/>
          <w:numId w:val="1"/>
        </w:numPr>
        <w:spacing w:after="40"/>
      </w:pPr>
      <w:r>
        <w:t xml:space="preserve">Bank statements available for trust and operating accounts</w:t>
      </w:r>
    </w:p>
    <w:p>
      <w:pPr>
        <w:pStyle w:val="ListParagraph"/>
        <w:numPr>
          <w:ilvl w:val="0"/>
          <w:numId w:val="1"/>
        </w:numPr>
        <w:spacing w:after="40"/>
      </w:pPr>
      <w:r>
        <w:t xml:space="preserve">Commission schedules current for all agents</w:t>
      </w:r>
    </w:p>
    <w:p>
      <w:pPr>
        <w:pStyle w:val="ListParagraph"/>
        <w:numPr>
          <w:ilvl w:val="0"/>
          <w:numId w:val="1"/>
        </w:numPr>
        <w:spacing w:after="40"/>
      </w:pPr>
      <w:r>
        <w:t xml:space="preserve">Prior month's reconciliation completed and filed</w:t>
      </w:r>
    </w:p>
    <w:p>
      <w:pPr>
        <w:pStyle w:val="Heading2"/>
        <w:spacing w:after="100" w:before="240"/>
      </w:pPr>
      <w:r>
        <w:t xml:space="preserve">Roles &amp; Responsibilities</w:t>
      </w:r>
    </w:p>
    <w:p>
      <w:pPr>
        <w:spacing w:after="40" w:before="120"/>
      </w:pPr>
      <w:r>
        <w:rPr>
          <w:b/>
          <w:bCs/>
        </w:rPr>
        <w:t xml:space="preserve">Bookkeeper</w:t>
      </w:r>
    </w:p>
    <w:p>
      <w:pPr>
        <w:pStyle w:val="ListParagraph"/>
        <w:numPr>
          <w:ilvl w:val="0"/>
          <w:numId w:val="1"/>
        </w:numPr>
        <w:spacing w:after="40"/>
      </w:pPr>
      <w:r>
        <w:t xml:space="preserve">Reconcile trust and operating accounts against bank statements</w:t>
      </w:r>
    </w:p>
    <w:p>
      <w:pPr>
        <w:pStyle w:val="ListParagraph"/>
        <w:numPr>
          <w:ilvl w:val="0"/>
          <w:numId w:val="1"/>
        </w:numPr>
        <w:spacing w:after="40"/>
      </w:pPr>
      <w:r>
        <w:t xml:space="preserve">Calculate and process agent commission payments</w:t>
      </w:r>
    </w:p>
    <w:p>
      <w:pPr>
        <w:pStyle w:val="ListParagraph"/>
        <w:numPr>
          <w:ilvl w:val="0"/>
          <w:numId w:val="1"/>
        </w:numPr>
        <w:spacing w:after="40"/>
      </w:pPr>
      <w:r>
        <w:t xml:space="preserve">Prepare the monthly financial summary</w:t>
      </w:r>
    </w:p>
    <w:p>
      <w:pPr>
        <w:spacing w:after="40" w:before="120"/>
      </w:pPr>
      <w:r>
        <w:rPr>
          <w:b/>
          <w:bCs/>
        </w:rPr>
        <w:t xml:space="preserve">Office Manager</w:t>
      </w:r>
    </w:p>
    <w:p>
      <w:pPr>
        <w:pStyle w:val="ListParagraph"/>
        <w:numPr>
          <w:ilvl w:val="0"/>
          <w:numId w:val="1"/>
        </w:numPr>
        <w:spacing w:after="40"/>
      </w:pPr>
      <w:r>
        <w:t xml:space="preserve">Verify all closed transactions have final closing statements in Dotloop</w:t>
      </w:r>
    </w:p>
    <w:p>
      <w:pPr>
        <w:pStyle w:val="ListParagraph"/>
        <w:numPr>
          <w:ilvl w:val="0"/>
          <w:numId w:val="1"/>
        </w:numPr>
        <w:spacing w:after="40"/>
      </w:pPr>
      <w:r>
        <w:t xml:space="preserve">Review commission calculations for accuracy before payment</w:t>
      </w:r>
    </w:p>
    <w:p>
      <w:pPr>
        <w:pStyle w:val="ListParagraph"/>
        <w:numPr>
          <w:ilvl w:val="0"/>
          <w:numId w:val="1"/>
        </w:numPr>
        <w:spacing w:after="40"/>
      </w:pPr>
      <w:r>
        <w:t xml:space="preserve">Chase any missing closing documents from agents or title companies</w:t>
      </w:r>
    </w:p>
    <w:p>
      <w:pPr>
        <w:spacing w:after="40" w:before="120"/>
      </w:pPr>
      <w:r>
        <w:rPr>
          <w:b/>
          <w:bCs/>
        </w:rPr>
        <w:t xml:space="preserve">Managing Broker</w:t>
      </w:r>
    </w:p>
    <w:p>
      <w:pPr>
        <w:pStyle w:val="ListParagraph"/>
        <w:numPr>
          <w:ilvl w:val="0"/>
          <w:numId w:val="1"/>
        </w:numPr>
        <w:spacing w:after="40"/>
      </w:pPr>
      <w:r>
        <w:t xml:space="preserve">Review and approve the monthly financial summary</w:t>
      </w:r>
    </w:p>
    <w:p>
      <w:pPr>
        <w:pStyle w:val="ListParagraph"/>
        <w:numPr>
          <w:ilvl w:val="0"/>
          <w:numId w:val="1"/>
        </w:numPr>
        <w:spacing w:after="40"/>
      </w:pPr>
      <w:r>
        <w:t xml:space="preserve">Sign off on trust account reconciliation</w:t>
      </w:r>
    </w:p>
    <w:p>
      <w:pPr>
        <w:pStyle w:val="ListParagraph"/>
        <w:numPr>
          <w:ilvl w:val="0"/>
          <w:numId w:val="1"/>
        </w:numPr>
        <w:spacing w:after="40"/>
      </w:pPr>
      <w:r>
        <w:t xml:space="preserve">Approve any commission adjustments or write-offs</w:t>
      </w:r>
    </w:p>
    <w:p>
      <w:pPr>
        <w:pStyle w:val="Heading2"/>
        <w:spacing w:after="100" w:before="240"/>
      </w:pPr>
      <w:r>
        <w:t xml:space="preserve">Procedure</w:t>
      </w:r>
    </w:p>
    <w:p>
      <w:pPr>
        <w:pStyle w:val="Heading3"/>
        <w:spacing w:after="40" w:before="160"/>
      </w:pPr>
      <w:r>
        <w:t xml:space="preserve">Step 1: Verify all closed transactions are recorded</w:t>
      </w:r>
    </w:p>
    <w:p>
      <w:pPr>
        <w:spacing w:after="100"/>
      </w:pPr>
      <w:r>
        <w:t xml:space="preserve">Pull the list of transactions that closed during the month from Dotloop. Verify each has a final closing statement (HUD-1 or ALTA settlement statement) uploaded. Cross-reference against the title company's closing confirmations. Flag any closings without complete documentation.</w:t>
      </w:r>
    </w:p>
    <w:p>
      <w:pPr>
        <w:pStyle w:val="ListParagraph"/>
        <w:numPr>
          <w:ilvl w:val="1"/>
          <w:numId w:val="1"/>
        </w:numPr>
        <w:spacing w:after="40"/>
      </w:pPr>
      <w:r>
        <w:t xml:space="preserve">Export closed transaction list from Dotloop for the month</w:t>
      </w:r>
    </w:p>
    <w:p>
      <w:pPr>
        <w:pStyle w:val="ListParagraph"/>
        <w:numPr>
          <w:ilvl w:val="1"/>
          <w:numId w:val="1"/>
        </w:numPr>
        <w:spacing w:after="40"/>
      </w:pPr>
      <w:r>
        <w:t xml:space="preserve">Verify each has a final closing/settlement statement uploaded</w:t>
      </w:r>
    </w:p>
    <w:p>
      <w:pPr>
        <w:pStyle w:val="ListParagraph"/>
        <w:numPr>
          <w:ilvl w:val="1"/>
          <w:numId w:val="1"/>
        </w:numPr>
        <w:spacing w:after="40"/>
      </w:pPr>
      <w:r>
        <w:t xml:space="preserve">Cross-reference with title company closing confirmations</w:t>
      </w:r>
    </w:p>
    <w:p>
      <w:pPr>
        <w:pStyle w:val="ListParagraph"/>
        <w:numPr>
          <w:ilvl w:val="1"/>
          <w:numId w:val="1"/>
        </w:numPr>
        <w:spacing w:after="40"/>
      </w:pPr>
      <w:r>
        <w:t xml:space="preserve">Contact agents for any missing closing documents</w:t>
      </w:r>
    </w:p>
    <w:p>
      <w:pPr>
        <w:pStyle w:val="Heading3"/>
        <w:spacing w:after="40" w:before="160"/>
      </w:pPr>
      <w:r>
        <w:t xml:space="preserve">Step 2: Calculate and reconcile commissions</w:t>
      </w:r>
    </w:p>
    <w:p>
      <w:pPr>
        <w:spacing w:after="100"/>
      </w:pPr>
      <w:r>
        <w:t xml:space="preserve">For each closed transaction, calculate the brokerage's commission based on the closing statement. Apply the agent's commission split per their agreement. Verify the total matches what the title company or closing attorney disbursed to the brokerage. Document any discrepancies.</w:t>
      </w:r>
    </w:p>
    <w:p>
      <w:pPr>
        <w:pStyle w:val="ListParagraph"/>
        <w:numPr>
          <w:ilvl w:val="1"/>
          <w:numId w:val="1"/>
        </w:numPr>
        <w:spacing w:after="40"/>
      </w:pPr>
      <w:r>
        <w:t xml:space="preserve">Pull commission from each closing statement</w:t>
      </w:r>
    </w:p>
    <w:p>
      <w:pPr>
        <w:pStyle w:val="ListParagraph"/>
        <w:numPr>
          <w:ilvl w:val="1"/>
          <w:numId w:val="1"/>
        </w:numPr>
        <w:spacing w:after="40"/>
      </w:pPr>
      <w:r>
        <w:t xml:space="preserve">Apply agent split per the independent contractor agreement</w:t>
      </w:r>
    </w:p>
    <w:p>
      <w:pPr>
        <w:pStyle w:val="ListParagraph"/>
        <w:numPr>
          <w:ilvl w:val="1"/>
          <w:numId w:val="1"/>
        </w:numPr>
        <w:spacing w:after="40"/>
      </w:pPr>
      <w:r>
        <w:t xml:space="preserve">Verify brokerage received the correct amount from title company</w:t>
      </w:r>
    </w:p>
    <w:p>
      <w:pPr>
        <w:pStyle w:val="ListParagraph"/>
        <w:numPr>
          <w:ilvl w:val="1"/>
          <w:numId w:val="1"/>
        </w:numPr>
        <w:spacing w:after="40"/>
      </w:pPr>
      <w:r>
        <w:t xml:space="preserve">Document any commission disputes or adjustments</w:t>
      </w:r>
    </w:p>
    <w:p>
      <w:pPr>
        <w:pStyle w:val="Heading3"/>
        <w:spacing w:after="40" w:before="160"/>
      </w:pPr>
      <w:r>
        <w:t xml:space="preserve">Step 3: Process agent commission payments</w:t>
      </w:r>
    </w:p>
    <w:p>
      <w:pPr>
        <w:spacing w:after="100"/>
      </w:pPr>
      <w:r>
        <w:t xml:space="preserve">After reconciliation, process commission payments to agents. Issue checks or ACH transfers within 5 business days of the brokerage receiving funds from the title company. Provide each agent a commission statement showing the transaction, gross commission, split, and any deductions (desk fees, marketing charges, E&amp;O insurance).</w:t>
      </w:r>
    </w:p>
    <w:p>
      <w:pPr>
        <w:spacing w:after="100"/>
      </w:pPr>
      <w:r>
        <w:rPr>
          <w:i/>
          <w:iCs/>
          <w:color w:val="1F7A4D"/>
        </w:rPr>
        <w:t xml:space="preserve">Tip: Process payments as soon as funds clear — agents notice delays, and slow commission payments drive agent attrition.</w:t>
      </w:r>
    </w:p>
    <w:p>
      <w:pPr>
        <w:pStyle w:val="Heading3"/>
        <w:spacing w:after="40" w:before="160"/>
      </w:pPr>
      <w:r>
        <w:t xml:space="preserve">Step 4: Reconcile the trust/escrow account</w:t>
      </w:r>
    </w:p>
    <w:p>
      <w:pPr>
        <w:spacing w:after="100"/>
      </w:pPr>
      <w:r>
        <w:t xml:space="preserve">Match every deposit and disbursement in the trust account bank statement to a specific transaction in your records. Verify earnest money deposits were received within the state-required timeframe. Ensure no brokerage operating funds are in the trust account (commingling violation). The balance should equal the sum of all held earnest money deposits.</w:t>
      </w:r>
    </w:p>
    <w:p>
      <w:pPr>
        <w:spacing w:after="100"/>
      </w:pPr>
      <w:r>
        <w:rPr>
          <w:i/>
          <w:iCs/>
          <w:color w:val="B45309"/>
        </w:rPr>
        <w:t xml:space="preserve">Warning: Commingling trust funds with operating funds is the most common reason brokerages face license suspension. Reconcile this account monthly without exception.</w:t>
      </w:r>
    </w:p>
    <w:p>
      <w:pPr>
        <w:pStyle w:val="Heading3"/>
        <w:spacing w:after="40" w:before="160"/>
      </w:pPr>
      <w:r>
        <w:t xml:space="preserve">Step 5: Reconcile the operating account</w:t>
      </w:r>
    </w:p>
    <w:p>
      <w:pPr>
        <w:spacing w:after="100"/>
      </w:pPr>
      <w:r>
        <w:t xml:space="preserve">Match operating account bank transactions to the general ledger. Verify rent, payroll, marketing expenses, MLS dues, and other recurring charges. Record any adjustments. Categorize expenses correctly for tax reporting.</w:t>
      </w:r>
    </w:p>
    <w:p>
      <w:pPr>
        <w:pStyle w:val="ListParagraph"/>
        <w:numPr>
          <w:ilvl w:val="1"/>
          <w:numId w:val="1"/>
        </w:numPr>
        <w:spacing w:after="40"/>
      </w:pPr>
      <w:r>
        <w:t xml:space="preserve">Match bank transactions to general ledger entries</w:t>
      </w:r>
    </w:p>
    <w:p>
      <w:pPr>
        <w:pStyle w:val="ListParagraph"/>
        <w:numPr>
          <w:ilvl w:val="1"/>
          <w:numId w:val="1"/>
        </w:numPr>
        <w:spacing w:after="40"/>
      </w:pPr>
      <w:r>
        <w:t xml:space="preserve">Verify recurring charges (rent, MLS, insurance) are correct</w:t>
      </w:r>
    </w:p>
    <w:p>
      <w:pPr>
        <w:pStyle w:val="ListParagraph"/>
        <w:numPr>
          <w:ilvl w:val="1"/>
          <w:numId w:val="1"/>
        </w:numPr>
        <w:spacing w:after="40"/>
      </w:pPr>
      <w:r>
        <w:t xml:space="preserve">Categorize expenses per the chart of accounts</w:t>
      </w:r>
    </w:p>
    <w:p>
      <w:pPr>
        <w:pStyle w:val="ListParagraph"/>
        <w:numPr>
          <w:ilvl w:val="1"/>
          <w:numId w:val="1"/>
        </w:numPr>
        <w:spacing w:after="40"/>
      </w:pPr>
      <w:r>
        <w:t xml:space="preserve">Record any adjusting entries with documentation</w:t>
      </w:r>
    </w:p>
    <w:p>
      <w:pPr>
        <w:pStyle w:val="Heading3"/>
        <w:spacing w:after="40" w:before="160"/>
      </w:pPr>
      <w:r>
        <w:t xml:space="preserve">Step 6: Prepare and deliver the monthly financial summary</w:t>
      </w:r>
    </w:p>
    <w:p>
      <w:pPr>
        <w:spacing w:after="100"/>
      </w:pPr>
      <w:r>
        <w:t xml:space="preserve">Compile the monthly report including: total closings and gross commission income, agent commission payouts, operating expenses, trust account balance, net income, and comparison to budget. Deliver to the managing broker within 5 business days of month-end.</w:t>
      </w:r>
    </w:p>
    <w:p>
      <w:pPr>
        <w:pStyle w:val="ListParagraph"/>
        <w:numPr>
          <w:ilvl w:val="1"/>
          <w:numId w:val="1"/>
        </w:numPr>
        <w:spacing w:after="40"/>
      </w:pPr>
      <w:r>
        <w:t xml:space="preserve">Summarize closings: count, volume, gross commission</w:t>
      </w:r>
    </w:p>
    <w:p>
      <w:pPr>
        <w:pStyle w:val="ListParagraph"/>
        <w:numPr>
          <w:ilvl w:val="1"/>
          <w:numId w:val="1"/>
        </w:numPr>
        <w:spacing w:after="40"/>
      </w:pPr>
      <w:r>
        <w:t xml:space="preserve">Calculate net income after agent splits and expenses</w:t>
      </w:r>
    </w:p>
    <w:p>
      <w:pPr>
        <w:pStyle w:val="ListParagraph"/>
        <w:numPr>
          <w:ilvl w:val="1"/>
          <w:numId w:val="1"/>
        </w:numPr>
        <w:spacing w:after="40"/>
      </w:pPr>
      <w:r>
        <w:t xml:space="preserve">Include trust account reconciliation summary</w:t>
      </w:r>
    </w:p>
    <w:p>
      <w:pPr>
        <w:pStyle w:val="ListParagraph"/>
        <w:numPr>
          <w:ilvl w:val="1"/>
          <w:numId w:val="1"/>
        </w:numPr>
        <w:spacing w:after="40"/>
      </w:pPr>
      <w:r>
        <w:t xml:space="preserve">Compare actuals to budget and note variances</w:t>
      </w:r>
    </w:p>
    <w:p>
      <w:pPr>
        <w:pStyle w:val="ListParagraph"/>
        <w:numPr>
          <w:ilvl w:val="1"/>
          <w:numId w:val="1"/>
        </w:numPr>
        <w:spacing w:after="40"/>
      </w:pPr>
      <w:r>
        <w:t xml:space="preserve">Deliver to managing broker and file in records</w:t>
      </w:r>
    </w:p>
    <w:p>
      <w:pPr>
        <w:pStyle w:val="Heading2"/>
        <w:spacing w:after="100" w:before="240"/>
      </w:pPr>
      <w:r>
        <w:t xml:space="preserve">Completion Checklist</w:t>
      </w:r>
    </w:p>
    <w:p>
      <w:pPr>
        <w:spacing w:after="40"/>
      </w:pPr>
      <w:r>
        <w:t xml:space="preserve">☐  All closed transactions verified with final closing statements</w:t>
      </w:r>
    </w:p>
    <w:p>
      <w:pPr>
        <w:spacing w:after="40"/>
      </w:pPr>
      <w:r>
        <w:t xml:space="preserve">☐  Commission calculations reconciled against closing statements</w:t>
      </w:r>
    </w:p>
    <w:p>
      <w:pPr>
        <w:spacing w:after="40"/>
      </w:pPr>
      <w:r>
        <w:t xml:space="preserve">☐  Agent commission payments processed within 5 business days</w:t>
      </w:r>
    </w:p>
    <w:p>
      <w:pPr>
        <w:spacing w:after="40"/>
      </w:pPr>
      <w:r>
        <w:t xml:space="preserve">☐  Commission statements provided to each agent</w:t>
      </w:r>
    </w:p>
    <w:p>
      <w:pPr>
        <w:spacing w:after="40"/>
      </w:pPr>
      <w:r>
        <w:t xml:space="preserve">☐  Trust/escrow account reconciled — balance matches held deposits</w:t>
      </w:r>
    </w:p>
    <w:p>
      <w:pPr>
        <w:spacing w:after="40"/>
      </w:pPr>
      <w:r>
        <w:t xml:space="preserve">☐  No commingling of trust and operating funds verified</w:t>
      </w:r>
    </w:p>
    <w:p>
      <w:pPr>
        <w:spacing w:after="40"/>
      </w:pPr>
      <w:r>
        <w:t xml:space="preserve">☐  Operating account reconciled against general ledger</w:t>
      </w:r>
    </w:p>
    <w:p>
      <w:pPr>
        <w:spacing w:after="40"/>
      </w:pPr>
      <w:r>
        <w:t xml:space="preserve">☐  Monthly financial summary prepared and delivered</w:t>
      </w:r>
    </w:p>
    <w:p>
      <w:pPr>
        <w:spacing w:after="40"/>
      </w:pPr>
      <w:r>
        <w:t xml:space="preserve">☐  All reports filed in brokerage records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Close completion time</w:t>
            </w:r>
          </w:p>
        </w:tc>
        <w:tc>
          <w:tcPr>
            <w:tcMar>
              <w:top w:type="dxa" w:w="60"/>
              <w:left w:type="dxa" w:w="120"/>
              <w:bottom w:type="dxa" w:w="60"/>
              <w:right w:type="dxa" w:w="120"/>
            </w:tcMar>
          </w:tcPr>
          <w:p>
            <w:r>
              <w:rPr>
                <w:b w:val="false"/>
                <w:bCs w:val="false"/>
              </w:rPr>
              <w:t xml:space="preserve">Within 5 business days of month-end</w:t>
            </w:r>
          </w:p>
        </w:tc>
      </w:tr>
      <w:tr>
        <w:trPr>
          <w:tblHeader w:val="false"/>
        </w:trPr>
        <w:tc>
          <w:tcPr>
            <w:tcMar>
              <w:top w:type="dxa" w:w="60"/>
              <w:left w:type="dxa" w:w="120"/>
              <w:bottom w:type="dxa" w:w="60"/>
              <w:right w:type="dxa" w:w="120"/>
            </w:tcMar>
          </w:tcPr>
          <w:p>
            <w:r>
              <w:rPr>
                <w:b w:val="false"/>
                <w:bCs w:val="false"/>
              </w:rPr>
              <w:t xml:space="preserve">Commission payment processing</w:t>
            </w:r>
          </w:p>
        </w:tc>
        <w:tc>
          <w:tcPr>
            <w:tcMar>
              <w:top w:type="dxa" w:w="60"/>
              <w:left w:type="dxa" w:w="120"/>
              <w:bottom w:type="dxa" w:w="60"/>
              <w:right w:type="dxa" w:w="120"/>
            </w:tcMar>
          </w:tcPr>
          <w:p>
            <w:r>
              <w:rPr>
                <w:b w:val="false"/>
                <w:bCs w:val="false"/>
              </w:rPr>
              <w:t xml:space="preserve">Within 5 business days of funds received</w:t>
            </w:r>
          </w:p>
        </w:tc>
      </w:tr>
      <w:tr>
        <w:trPr>
          <w:tblHeader w:val="false"/>
        </w:trPr>
        <w:tc>
          <w:tcPr>
            <w:tcMar>
              <w:top w:type="dxa" w:w="60"/>
              <w:left w:type="dxa" w:w="120"/>
              <w:bottom w:type="dxa" w:w="60"/>
              <w:right w:type="dxa" w:w="120"/>
            </w:tcMar>
          </w:tcPr>
          <w:p>
            <w:r>
              <w:rPr>
                <w:b w:val="false"/>
                <w:bCs w:val="false"/>
              </w:rPr>
              <w:t xml:space="preserve">Trust account discrepancies</w:t>
            </w:r>
          </w:p>
        </w:tc>
        <w:tc>
          <w:tcPr>
            <w:tcMar>
              <w:top w:type="dxa" w:w="60"/>
              <w:left w:type="dxa" w:w="120"/>
              <w:bottom w:type="dxa" w:w="60"/>
              <w:right w:type="dxa" w:w="120"/>
            </w:tcMar>
          </w:tcPr>
          <w:p>
            <w:r>
              <w:rPr>
                <w:b w:val="false"/>
                <w:bCs w:val="false"/>
              </w:rPr>
              <w:t xml:space="preserve">Zero unresolved</w:t>
            </w:r>
          </w:p>
        </w:tc>
      </w:tr>
      <w:tr>
        <w:trPr>
          <w:tblHeader w:val="false"/>
        </w:trPr>
        <w:tc>
          <w:tcPr>
            <w:tcMar>
              <w:top w:type="dxa" w:w="60"/>
              <w:left w:type="dxa" w:w="120"/>
              <w:bottom w:type="dxa" w:w="60"/>
              <w:right w:type="dxa" w:w="120"/>
            </w:tcMar>
          </w:tcPr>
          <w:p>
            <w:r>
              <w:rPr>
                <w:b w:val="false"/>
                <w:bCs w:val="false"/>
              </w:rPr>
              <w:t xml:space="preserve">Transaction documentation completeness</w:t>
            </w:r>
          </w:p>
        </w:tc>
        <w:tc>
          <w:tcPr>
            <w:tcMar>
              <w:top w:type="dxa" w:w="60"/>
              <w:left w:type="dxa" w:w="120"/>
              <w:bottom w:type="dxa" w:w="60"/>
              <w:right w:type="dxa" w:w="120"/>
            </w:tcMar>
          </w:tcPr>
          <w:p>
            <w:r>
              <w:rPr>
                <w:b w:val="false"/>
                <w:bCs w:val="false"/>
              </w:rPr>
              <w:t xml:space="preserve">100% of closings with final statements</w:t>
            </w:r>
          </w:p>
        </w:tc>
      </w:tr>
    </w:tbl>
    <w:p>
      <w:pPr>
        <w:pStyle w:val="Heading2"/>
        <w:spacing w:after="100" w:before="240"/>
      </w:pPr>
      <w:r>
        <w:t xml:space="preserve">Revision Schedule</w:t>
      </w:r>
    </w:p>
    <w:p>
      <w:pPr>
        <w:spacing w:after="100"/>
      </w:pPr>
      <w:r>
        <w:t xml:space="preserve">Annually, or after changes to commission structures, bank accounts, or state trust account requirements.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Month-End Close for Real Estate</dc:title>
  <dc:creator>Glyde</dc:creator>
  <dc:description>Free month-end close SOP for real estate brokerages. Covers commission reconciliation, trust account balancing, and financial reporting.</dc:description>
  <cp:lastModifiedBy>Un-named</cp:lastModifiedBy>
  <cp:revision>1</cp:revision>
  <dcterms:created xsi:type="dcterms:W3CDTF">2026-07-22T08:34:35.872Z</dcterms:created>
  <dcterms:modified xsi:type="dcterms:W3CDTF">2026-07-22T08:34:35.872Z</dcterms:modified>
</cp:coreProperties>
</file>

<file path=docProps/custom.xml><?xml version="1.0" encoding="utf-8"?>
<Properties xmlns="http://schemas.openxmlformats.org/officeDocument/2006/custom-properties" xmlns:vt="http://schemas.openxmlformats.org/officeDocument/2006/docPropsVTypes"/>
</file>