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Offboarding for Education</w:t>
      </w:r>
    </w:p>
    <w:p>
      <w:pPr>
        <w:spacing w:after="200"/>
      </w:pPr>
      <w:r>
        <w:rPr>
          <w:i/>
          <w:iCs/>
          <w:color w:val="6B7280"/>
        </w:rPr>
        <w:t xml:space="preserve">Free employee offboarding SOP template for education HR teams. Step-by-step procedures for handling departing faculty and staff at schools and universities.</w:t>
      </w:r>
    </w:p>
    <w:p>
      <w:pPr>
        <w:pStyle w:val="Heading2"/>
        <w:spacing w:after="100" w:before="240"/>
      </w:pPr>
      <w:r>
        <w:t xml:space="preserve">Purpose</w:t>
      </w:r>
    </w:p>
    <w:p>
      <w:pPr>
        <w:spacing w:after="100"/>
      </w:pPr>
      <w:r>
        <w:t xml:space="preserve">Define a consistent procedure for offboarding departing faculty, staff, and administrators from K-12 schools, school districts, and higher education institutions. This SOP ensures that FERPA-protected system access is revoked promptly, institutional knowledge is transferred, keys and equipment are returned, and benefits transitions are handled correctly — protecting both the institution and the departing employee.</w:t>
      </w:r>
    </w:p>
    <w:p>
      <w:pPr>
        <w:pStyle w:val="Heading2"/>
        <w:spacing w:after="100" w:before="240"/>
      </w:pPr>
      <w:r>
        <w:t xml:space="preserve">Scope</w:t>
      </w:r>
    </w:p>
    <w:p>
      <w:pPr>
        <w:spacing w:after="100"/>
      </w:pPr>
      <w:r>
        <w:t xml:space="preserve">Covers all voluntary and involuntary separations for full-time and part-time employees including faculty, administrative staff, and IT personnel. Applies to resignations, retirements, contract non-renewals, and terminations. Does not cover student employee separations or adjunct faculty contract endings, which follow separate procedures.</w:t>
      </w:r>
    </w:p>
    <w:p>
      <w:pPr>
        <w:pStyle w:val="Heading2"/>
        <w:spacing w:after="100" w:before="240"/>
      </w:pPr>
      <w:r>
        <w:t xml:space="preserve">Prerequisites</w:t>
      </w:r>
    </w:p>
    <w:p>
      <w:pPr>
        <w:pStyle w:val="ListParagraph"/>
        <w:numPr>
          <w:ilvl w:val="0"/>
          <w:numId w:val="1"/>
        </w:numPr>
        <w:spacing w:after="40"/>
      </w:pPr>
      <w:r>
        <w:t xml:space="preserve">Resignation letter or HR termination notice on file</w:t>
      </w:r>
    </w:p>
    <w:p>
      <w:pPr>
        <w:pStyle w:val="ListParagraph"/>
        <w:numPr>
          <w:ilvl w:val="0"/>
          <w:numId w:val="1"/>
        </w:numPr>
        <w:spacing w:after="40"/>
      </w:pPr>
      <w:r>
        <w:t xml:space="preserve">Last day of employment confirmed and communicated to all relevant departments</w:t>
      </w:r>
    </w:p>
    <w:p>
      <w:pPr>
        <w:pStyle w:val="ListParagraph"/>
        <w:numPr>
          <w:ilvl w:val="0"/>
          <w:numId w:val="1"/>
        </w:numPr>
        <w:spacing w:after="40"/>
      </w:pPr>
      <w:r>
        <w:t xml:space="preserve">IT notified to prepare for system access revocation</w:t>
      </w:r>
    </w:p>
    <w:p>
      <w:pPr>
        <w:pStyle w:val="ListParagraph"/>
        <w:numPr>
          <w:ilvl w:val="0"/>
          <w:numId w:val="1"/>
        </w:numPr>
        <w:spacing w:after="40"/>
      </w:pPr>
      <w:r>
        <w:t xml:space="preserve">Benefits office notified to prepare COBRA and retirement account information</w:t>
      </w:r>
    </w:p>
    <w:p>
      <w:pPr>
        <w:pStyle w:val="ListParagraph"/>
        <w:numPr>
          <w:ilvl w:val="0"/>
          <w:numId w:val="1"/>
        </w:numPr>
        <w:spacing w:after="40"/>
      </w:pPr>
      <w:r>
        <w:t xml:space="preserve">Supervisor has identified critical knowledge that needs to be transferred</w:t>
      </w:r>
    </w:p>
    <w:p>
      <w:pPr>
        <w:pStyle w:val="Heading2"/>
        <w:spacing w:after="100" w:before="240"/>
      </w:pPr>
      <w:r>
        <w:t xml:space="preserve">Roles &amp; Responsibilities</w:t>
      </w:r>
    </w:p>
    <w:p>
      <w:pPr>
        <w:spacing w:after="40" w:before="120"/>
      </w:pPr>
      <w:r>
        <w:rPr>
          <w:b/>
          <w:bCs/>
        </w:rPr>
        <w:t xml:space="preserve">HR Coordinator</w:t>
      </w:r>
    </w:p>
    <w:p>
      <w:pPr>
        <w:pStyle w:val="ListParagraph"/>
        <w:numPr>
          <w:ilvl w:val="0"/>
          <w:numId w:val="1"/>
        </w:numPr>
        <w:spacing w:after="40"/>
      </w:pPr>
      <w:r>
        <w:t xml:space="preserve">Initiate the offboarding checklist on the first day after receiving the separation notice</w:t>
      </w:r>
    </w:p>
    <w:p>
      <w:pPr>
        <w:pStyle w:val="ListParagraph"/>
        <w:numPr>
          <w:ilvl w:val="0"/>
          <w:numId w:val="1"/>
        </w:numPr>
        <w:spacing w:after="40"/>
      </w:pPr>
      <w:r>
        <w:t xml:space="preserve">Schedule the exit interview and final benefits meeting</w:t>
      </w:r>
    </w:p>
    <w:p>
      <w:pPr>
        <w:pStyle w:val="ListParagraph"/>
        <w:numPr>
          <w:ilvl w:val="0"/>
          <w:numId w:val="1"/>
        </w:numPr>
        <w:spacing w:after="40"/>
      </w:pPr>
      <w:r>
        <w:t xml:space="preserve">Coordinate the return of institutional property and final paycheck</w:t>
      </w:r>
    </w:p>
    <w:p>
      <w:pPr>
        <w:spacing w:after="40" w:before="120"/>
      </w:pPr>
      <w:r>
        <w:rPr>
          <w:b/>
          <w:bCs/>
        </w:rPr>
        <w:t xml:space="preserve">IT Administrator</w:t>
      </w:r>
    </w:p>
    <w:p>
      <w:pPr>
        <w:pStyle w:val="ListParagraph"/>
        <w:numPr>
          <w:ilvl w:val="0"/>
          <w:numId w:val="1"/>
        </w:numPr>
        <w:spacing w:after="40"/>
      </w:pPr>
      <w:r>
        <w:t xml:space="preserve">Revoke access to all institutional systems on the employee's last day</w:t>
      </w:r>
    </w:p>
    <w:p>
      <w:pPr>
        <w:pStyle w:val="ListParagraph"/>
        <w:numPr>
          <w:ilvl w:val="0"/>
          <w:numId w:val="1"/>
        </w:numPr>
        <w:spacing w:after="40"/>
      </w:pPr>
      <w:r>
        <w:t xml:space="preserve">Disable Ellucian Banner, PowerSchool, Canvas, email, and network accounts</w:t>
      </w:r>
    </w:p>
    <w:p>
      <w:pPr>
        <w:pStyle w:val="ListParagraph"/>
        <w:numPr>
          <w:ilvl w:val="0"/>
          <w:numId w:val="1"/>
        </w:numPr>
        <w:spacing w:after="40"/>
      </w:pPr>
      <w:r>
        <w:t xml:space="preserve">Transfer shared drive files and email forwarding per the supervisor's instructions</w:t>
      </w:r>
    </w:p>
    <w:p>
      <w:pPr>
        <w:spacing w:after="40" w:before="120"/>
      </w:pPr>
      <w:r>
        <w:rPr>
          <w:b/>
          <w:bCs/>
        </w:rPr>
        <w:t xml:space="preserve">Department Chair or Supervisor</w:t>
      </w:r>
    </w:p>
    <w:p>
      <w:pPr>
        <w:pStyle w:val="ListParagraph"/>
        <w:numPr>
          <w:ilvl w:val="0"/>
          <w:numId w:val="1"/>
        </w:numPr>
        <w:spacing w:after="40"/>
      </w:pPr>
      <w:r>
        <w:t xml:space="preserve">Identify critical knowledge, ongoing projects, and responsibilities to transfer</w:t>
      </w:r>
    </w:p>
    <w:p>
      <w:pPr>
        <w:pStyle w:val="ListParagraph"/>
        <w:numPr>
          <w:ilvl w:val="0"/>
          <w:numId w:val="1"/>
        </w:numPr>
        <w:spacing w:after="40"/>
      </w:pPr>
      <w:r>
        <w:t xml:space="preserve">Conduct knowledge transfer sessions with the incoming replacement or interim coverage</w:t>
      </w:r>
    </w:p>
    <w:p>
      <w:pPr>
        <w:pStyle w:val="ListParagraph"/>
        <w:numPr>
          <w:ilvl w:val="0"/>
          <w:numId w:val="1"/>
        </w:numPr>
        <w:spacing w:after="40"/>
      </w:pPr>
      <w:r>
        <w:t xml:space="preserve">Redistribute the departing employee's duties until a replacement is hired</w:t>
      </w:r>
    </w:p>
    <w:p>
      <w:pPr>
        <w:spacing w:after="40" w:before="120"/>
      </w:pPr>
      <w:r>
        <w:rPr>
          <w:b/>
          <w:bCs/>
        </w:rPr>
        <w:t xml:space="preserve">Benefits Administrator</w:t>
      </w:r>
    </w:p>
    <w:p>
      <w:pPr>
        <w:pStyle w:val="ListParagraph"/>
        <w:numPr>
          <w:ilvl w:val="0"/>
          <w:numId w:val="1"/>
        </w:numPr>
        <w:spacing w:after="40"/>
      </w:pPr>
      <w:r>
        <w:t xml:space="preserve">Explain COBRA continuation options, retirement account rollover procedures, and final pay details</w:t>
      </w:r>
    </w:p>
    <w:p>
      <w:pPr>
        <w:pStyle w:val="ListParagraph"/>
        <w:numPr>
          <w:ilvl w:val="0"/>
          <w:numId w:val="1"/>
        </w:numPr>
        <w:spacing w:after="40"/>
      </w:pPr>
      <w:r>
        <w:t xml:space="preserve">Process the final paycheck including accrued leave payout per institutional policy</w:t>
      </w:r>
    </w:p>
    <w:p>
      <w:pPr>
        <w:pStyle w:val="Heading2"/>
        <w:spacing w:after="100" w:before="240"/>
      </w:pPr>
      <w:r>
        <w:t xml:space="preserve">Procedure</w:t>
      </w:r>
    </w:p>
    <w:p>
      <w:pPr>
        <w:pStyle w:val="Heading3"/>
        <w:spacing w:after="40" w:before="160"/>
      </w:pPr>
      <w:r>
        <w:t xml:space="preserve">Step 1: Receive separation notice and initiate the offboarding checklist</w:t>
      </w:r>
    </w:p>
    <w:p>
      <w:pPr>
        <w:spacing w:after="100"/>
      </w:pPr>
      <w:r>
        <w:t xml:space="preserve">When HR receives a resignation letter, retirement notice, or termination decision, the HR coordinator confirms the last day of employment and initiates the offboarding checklist. Notify IT, the benefits office, the department chair, campus security, and the payroll office on the same day. For terminations, coordinate with legal counsel on timing and communication.</w:t>
      </w:r>
    </w:p>
    <w:p>
      <w:pPr>
        <w:pStyle w:val="ListParagraph"/>
        <w:numPr>
          <w:ilvl w:val="1"/>
          <w:numId w:val="1"/>
        </w:numPr>
        <w:spacing w:after="40"/>
      </w:pPr>
      <w:r>
        <w:t xml:space="preserve">Confirm the last day of employment with the departing employee and supervisor</w:t>
      </w:r>
    </w:p>
    <w:p>
      <w:pPr>
        <w:pStyle w:val="ListParagraph"/>
        <w:numPr>
          <w:ilvl w:val="1"/>
          <w:numId w:val="1"/>
        </w:numPr>
        <w:spacing w:after="40"/>
      </w:pPr>
      <w:r>
        <w:t xml:space="preserve">Create the offboarding checklist in the HRIS (Workday, PeopleSoft)</w:t>
      </w:r>
    </w:p>
    <w:p>
      <w:pPr>
        <w:pStyle w:val="ListParagraph"/>
        <w:numPr>
          <w:ilvl w:val="1"/>
          <w:numId w:val="1"/>
        </w:numPr>
        <w:spacing w:after="40"/>
      </w:pPr>
      <w:r>
        <w:t xml:space="preserve">Notify IT to schedule system access revocation for the last day</w:t>
      </w:r>
    </w:p>
    <w:p>
      <w:pPr>
        <w:pStyle w:val="ListParagraph"/>
        <w:numPr>
          <w:ilvl w:val="1"/>
          <w:numId w:val="1"/>
        </w:numPr>
        <w:spacing w:after="40"/>
      </w:pPr>
      <w:r>
        <w:t xml:space="preserve">Notify the benefits office to prepare separation documents</w:t>
      </w:r>
    </w:p>
    <w:p>
      <w:pPr>
        <w:pStyle w:val="ListParagraph"/>
        <w:numPr>
          <w:ilvl w:val="1"/>
          <w:numId w:val="1"/>
        </w:numPr>
        <w:spacing w:after="40"/>
      </w:pPr>
      <w:r>
        <w:t xml:space="preserve">Notify campus security to deactivate building access on the last day</w:t>
      </w:r>
    </w:p>
    <w:p>
      <w:pPr>
        <w:spacing w:after="100"/>
      </w:pPr>
      <w:r>
        <w:rPr>
          <w:i/>
          <w:iCs/>
          <w:color w:val="1F7A4D"/>
        </w:rPr>
        <w:t xml:space="preserve">Tip: For faculty departing mid-semester, coordinate with the department chair immediately on course coverage. Student continuity is the top priority — the offboarding timeline may need to accommodate finishing the current term before full separation.</w:t>
      </w:r>
    </w:p>
    <w:p>
      <w:pPr>
        <w:pStyle w:val="Heading3"/>
        <w:spacing w:after="40" w:before="160"/>
      </w:pPr>
      <w:r>
        <w:t xml:space="preserve">Step 2: Conduct knowledge transfer sessions</w:t>
      </w:r>
    </w:p>
    <w:p>
      <w:pPr>
        <w:spacing w:after="100"/>
      </w:pPr>
      <w:r>
        <w:t xml:space="preserve">The supervisor identifies the departing employee's critical responsibilities, ongoing projects, institutional contacts, and undocumented processes. Schedule at least two knowledge transfer sessions during the notice period: one to identify what needs to be captured and one to walk through the details. For faculty, this includes course materials, student advising notes (FERPA-compliant), and committee responsibilities.</w:t>
      </w:r>
    </w:p>
    <w:p>
      <w:pPr>
        <w:pStyle w:val="ListParagraph"/>
        <w:numPr>
          <w:ilvl w:val="1"/>
          <w:numId w:val="1"/>
        </w:numPr>
        <w:spacing w:after="40"/>
      </w:pPr>
      <w:r>
        <w:t xml:space="preserve">List all responsibilities, recurring tasks, and ongoing projects held by the departing employee</w:t>
      </w:r>
    </w:p>
    <w:p>
      <w:pPr>
        <w:pStyle w:val="ListParagraph"/>
        <w:numPr>
          <w:ilvl w:val="1"/>
          <w:numId w:val="1"/>
        </w:numPr>
        <w:spacing w:after="40"/>
      </w:pPr>
      <w:r>
        <w:t xml:space="preserve">Identify who will take over each responsibility (interim or permanent)</w:t>
      </w:r>
    </w:p>
    <w:p>
      <w:pPr>
        <w:pStyle w:val="ListParagraph"/>
        <w:numPr>
          <w:ilvl w:val="1"/>
          <w:numId w:val="1"/>
        </w:numPr>
        <w:spacing w:after="40"/>
      </w:pPr>
      <w:r>
        <w:t xml:space="preserve">Schedule the first knowledge transfer session to map everything that needs to be documented</w:t>
      </w:r>
    </w:p>
    <w:p>
      <w:pPr>
        <w:pStyle w:val="ListParagraph"/>
        <w:numPr>
          <w:ilvl w:val="1"/>
          <w:numId w:val="1"/>
        </w:numPr>
        <w:spacing w:after="40"/>
      </w:pPr>
      <w:r>
        <w:t xml:space="preserve">Schedule the second session to walk the replacement through the actual processes</w:t>
      </w:r>
    </w:p>
    <w:p>
      <w:pPr>
        <w:pStyle w:val="ListParagraph"/>
        <w:numPr>
          <w:ilvl w:val="1"/>
          <w:numId w:val="1"/>
        </w:numPr>
        <w:spacing w:after="40"/>
      </w:pPr>
      <w:r>
        <w:t xml:space="preserve">Have the departing employee record key processes using Glyde for future reference</w:t>
      </w:r>
    </w:p>
    <w:p>
      <w:pPr>
        <w:spacing w:after="100"/>
      </w:pPr>
      <w:r>
        <w:rPr>
          <w:i/>
          <w:iCs/>
          <w:color w:val="B45309"/>
        </w:rPr>
        <w:t xml:space="preserve">Warning: Student advising notes and records are FERPA-protected. During knowledge transfer, ensure that advising notes are transferred through the student information system (Banner, PeopleSoft) rather than through personal files, email forwards, or shared documents outside the official system.</w:t>
      </w:r>
    </w:p>
    <w:p>
      <w:pPr>
        <w:pStyle w:val="Heading3"/>
        <w:spacing w:after="40" w:before="160"/>
      </w:pPr>
      <w:r>
        <w:t xml:space="preserve">Step 3: Collect institutional property</w:t>
      </w:r>
    </w:p>
    <w:p>
      <w:pPr>
        <w:spacing w:after="100"/>
      </w:pPr>
      <w:r>
        <w:t xml:space="preserve">The departing employee must return all institutional property before their last day. This includes keys, access badges, laptops, tablets, parking permits, credit cards, and any institutional records or files. For faculty, collect textbook desk copies, lab supplies, and any equipment checked out from the department. Use a signed checklist to document the return.</w:t>
      </w:r>
    </w:p>
    <w:p>
      <w:pPr>
        <w:pStyle w:val="ListParagraph"/>
        <w:numPr>
          <w:ilvl w:val="1"/>
          <w:numId w:val="1"/>
        </w:numPr>
        <w:spacing w:after="40"/>
      </w:pPr>
      <w:r>
        <w:t xml:space="preserve">Provide the employee with a property return checklist listing all items to return</w:t>
      </w:r>
    </w:p>
    <w:p>
      <w:pPr>
        <w:pStyle w:val="ListParagraph"/>
        <w:numPr>
          <w:ilvl w:val="1"/>
          <w:numId w:val="1"/>
        </w:numPr>
        <w:spacing w:after="40"/>
      </w:pPr>
      <w:r>
        <w:t xml:space="preserve">Collect keys, access badges, and parking permits</w:t>
      </w:r>
    </w:p>
    <w:p>
      <w:pPr>
        <w:pStyle w:val="ListParagraph"/>
        <w:numPr>
          <w:ilvl w:val="1"/>
          <w:numId w:val="1"/>
        </w:numPr>
        <w:spacing w:after="40"/>
      </w:pPr>
      <w:r>
        <w:t xml:space="preserve">Collect laptops, tablets, phones, and other technology equipment</w:t>
      </w:r>
    </w:p>
    <w:p>
      <w:pPr>
        <w:pStyle w:val="ListParagraph"/>
        <w:numPr>
          <w:ilvl w:val="1"/>
          <w:numId w:val="1"/>
        </w:numPr>
        <w:spacing w:after="40"/>
      </w:pPr>
      <w:r>
        <w:t xml:space="preserve">Collect institutional credit cards and purchasing cards</w:t>
      </w:r>
    </w:p>
    <w:p>
      <w:pPr>
        <w:pStyle w:val="ListParagraph"/>
        <w:numPr>
          <w:ilvl w:val="1"/>
          <w:numId w:val="1"/>
        </w:numPr>
        <w:spacing w:after="40"/>
      </w:pPr>
      <w:r>
        <w:t xml:space="preserve">Have the employee sign the property return form confirming all items returned</w:t>
      </w:r>
    </w:p>
    <w:p>
      <w:pPr>
        <w:pStyle w:val="Heading3"/>
        <w:spacing w:after="40" w:before="160"/>
      </w:pPr>
      <w:r>
        <w:t xml:space="preserve">Step 4: Revoke system access on the last day</w:t>
      </w:r>
    </w:p>
    <w:p>
      <w:pPr>
        <w:spacing w:after="100"/>
      </w:pPr>
      <w:r>
        <w:t xml:space="preserve">IT disables the departing employee's access to all institutional systems on their last day of employment — no later than end of business. This includes Ellucian Banner, PowerSchool, Canvas, Blackboard, institutional email, Google Workspace or Microsoft 365, network VPN, and any departmental applications. FERPA requires that access to student records is terminated when the employee no longer has a legitimate educational interest.</w:t>
      </w:r>
    </w:p>
    <w:p>
      <w:pPr>
        <w:pStyle w:val="ListParagraph"/>
        <w:numPr>
          <w:ilvl w:val="1"/>
          <w:numId w:val="1"/>
        </w:numPr>
        <w:spacing w:after="40"/>
      </w:pPr>
      <w:r>
        <w:t xml:space="preserve">Disable the Ellucian Banner or PowerSchool account</w:t>
      </w:r>
    </w:p>
    <w:p>
      <w:pPr>
        <w:pStyle w:val="ListParagraph"/>
        <w:numPr>
          <w:ilvl w:val="1"/>
          <w:numId w:val="1"/>
        </w:numPr>
        <w:spacing w:after="40"/>
      </w:pPr>
      <w:r>
        <w:t xml:space="preserve">Disable the Canvas or Blackboard instructor account</w:t>
      </w:r>
    </w:p>
    <w:p>
      <w:pPr>
        <w:pStyle w:val="ListParagraph"/>
        <w:numPr>
          <w:ilvl w:val="1"/>
          <w:numId w:val="1"/>
        </w:numPr>
        <w:spacing w:after="40"/>
      </w:pPr>
      <w:r>
        <w:t xml:space="preserve">Disable the institutional email account (set auto-reply with contact redirect if needed)</w:t>
      </w:r>
    </w:p>
    <w:p>
      <w:pPr>
        <w:pStyle w:val="ListParagraph"/>
        <w:numPr>
          <w:ilvl w:val="1"/>
          <w:numId w:val="1"/>
        </w:numPr>
        <w:spacing w:after="40"/>
      </w:pPr>
      <w:r>
        <w:t xml:space="preserve">Revoke Google Workspace or Microsoft 365 access</w:t>
      </w:r>
    </w:p>
    <w:p>
      <w:pPr>
        <w:pStyle w:val="ListParagraph"/>
        <w:numPr>
          <w:ilvl w:val="1"/>
          <w:numId w:val="1"/>
        </w:numPr>
        <w:spacing w:after="40"/>
      </w:pPr>
      <w:r>
        <w:t xml:space="preserve">Disable VPN, Wi-Fi, and network access credentials</w:t>
      </w:r>
    </w:p>
    <w:p>
      <w:pPr>
        <w:pStyle w:val="ListParagraph"/>
        <w:numPr>
          <w:ilvl w:val="1"/>
          <w:numId w:val="1"/>
        </w:numPr>
        <w:spacing w:after="40"/>
      </w:pPr>
      <w:r>
        <w:t xml:space="preserve">Deactivate the building access badge in the security system</w:t>
      </w:r>
    </w:p>
    <w:p>
      <w:pPr>
        <w:spacing w:after="100"/>
      </w:pPr>
      <w:r>
        <w:rPr>
          <w:i/>
          <w:iCs/>
          <w:color w:val="B45309"/>
        </w:rPr>
        <w:t xml:space="preserve">Warning: FERPA violations can occur if a former employee retains access to student education records after separation. System access must be revoked on the last day — not 'when IT gets to it.' For terminations, revoke access immediately upon the termination decision.</w:t>
      </w:r>
    </w:p>
    <w:p>
      <w:pPr>
        <w:pStyle w:val="Heading3"/>
        <w:spacing w:after="40" w:before="160"/>
      </w:pPr>
      <w:r>
        <w:t xml:space="preserve">Step 5: Handle email and file transfers</w:t>
      </w:r>
    </w:p>
    <w:p>
      <w:pPr>
        <w:spacing w:after="100"/>
      </w:pPr>
      <w:r>
        <w:t xml:space="preserve">Before disabling the departing employee's email, set up an auto-reply directing senders to the replacement or department contact. Transfer ownership of shared drives, collaborative documents, and departmental files to the supervisor or replacement. Do not delete the email account immediately — retain it per the institutional data retention policy (typically 90-180 days).</w:t>
      </w:r>
    </w:p>
    <w:p>
      <w:pPr>
        <w:pStyle w:val="ListParagraph"/>
        <w:numPr>
          <w:ilvl w:val="1"/>
          <w:numId w:val="1"/>
        </w:numPr>
        <w:spacing w:after="40"/>
      </w:pPr>
      <w:r>
        <w:t xml:space="preserve">Set an email auto-reply with the replacement contact's name and email</w:t>
      </w:r>
    </w:p>
    <w:p>
      <w:pPr>
        <w:pStyle w:val="ListParagraph"/>
        <w:numPr>
          <w:ilvl w:val="1"/>
          <w:numId w:val="1"/>
        </w:numPr>
        <w:spacing w:after="40"/>
      </w:pPr>
      <w:r>
        <w:t xml:space="preserve">Transfer ownership of Google Drive or OneDrive folders to the supervisor</w:t>
      </w:r>
    </w:p>
    <w:p>
      <w:pPr>
        <w:pStyle w:val="ListParagraph"/>
        <w:numPr>
          <w:ilvl w:val="1"/>
          <w:numId w:val="1"/>
        </w:numPr>
        <w:spacing w:after="40"/>
      </w:pPr>
      <w:r>
        <w:t xml:space="preserve">Migrate any departmental files from the employee's personal drive to shared storage</w:t>
      </w:r>
    </w:p>
    <w:p>
      <w:pPr>
        <w:pStyle w:val="ListParagraph"/>
        <w:numPr>
          <w:ilvl w:val="1"/>
          <w:numId w:val="1"/>
        </w:numPr>
        <w:spacing w:after="40"/>
      </w:pPr>
      <w:r>
        <w:t xml:space="preserve">Retain the email account per data retention policy before final deletion</w:t>
      </w:r>
    </w:p>
    <w:p>
      <w:pPr>
        <w:pStyle w:val="ListParagraph"/>
        <w:numPr>
          <w:ilvl w:val="1"/>
          <w:numId w:val="1"/>
        </w:numPr>
        <w:spacing w:after="40"/>
      </w:pPr>
      <w:r>
        <w:t xml:space="preserve">Forward critical email threads to the replacement during the transition period</w:t>
      </w:r>
    </w:p>
    <w:p>
      <w:pPr>
        <w:pStyle w:val="Heading3"/>
        <w:spacing w:after="40" w:before="160"/>
      </w:pPr>
      <w:r>
        <w:t xml:space="preserve">Step 6: Conduct the exit interview</w:t>
      </w:r>
    </w:p>
    <w:p>
      <w:pPr>
        <w:spacing w:after="100"/>
      </w:pPr>
      <w:r>
        <w:t xml:space="preserve">HR conducts a 30-minute exit interview during the employee's last week. Use a standardized questionnaire covering reasons for leaving, department culture, management feedback, and suggestions for improvement. Exit interview data is confidential and aggregated for trend analysis — it is not shared verbatim with the departing employee's supervisor.</w:t>
      </w:r>
    </w:p>
    <w:p>
      <w:pPr>
        <w:pStyle w:val="ListParagraph"/>
        <w:numPr>
          <w:ilvl w:val="1"/>
          <w:numId w:val="1"/>
        </w:numPr>
        <w:spacing w:after="40"/>
      </w:pPr>
      <w:r>
        <w:t xml:space="preserve">Schedule the exit interview during the final week of employment</w:t>
      </w:r>
    </w:p>
    <w:p>
      <w:pPr>
        <w:pStyle w:val="ListParagraph"/>
        <w:numPr>
          <w:ilvl w:val="1"/>
          <w:numId w:val="1"/>
        </w:numPr>
        <w:spacing w:after="40"/>
      </w:pPr>
      <w:r>
        <w:t xml:space="preserve">Use the standardized exit interview questionnaire</w:t>
      </w:r>
    </w:p>
    <w:p>
      <w:pPr>
        <w:pStyle w:val="ListParagraph"/>
        <w:numPr>
          <w:ilvl w:val="1"/>
          <w:numId w:val="1"/>
        </w:numPr>
        <w:spacing w:after="40"/>
      </w:pPr>
      <w:r>
        <w:t xml:space="preserve">Ask about reasons for departure, department experience, and institutional feedback</w:t>
      </w:r>
    </w:p>
    <w:p>
      <w:pPr>
        <w:pStyle w:val="ListParagraph"/>
        <w:numPr>
          <w:ilvl w:val="1"/>
          <w:numId w:val="1"/>
        </w:numPr>
        <w:spacing w:after="40"/>
      </w:pPr>
      <w:r>
        <w:t xml:space="preserve">Document responses in the HRIS for aggregate reporting</w:t>
      </w:r>
    </w:p>
    <w:p>
      <w:pPr>
        <w:pStyle w:val="ListParagraph"/>
        <w:numPr>
          <w:ilvl w:val="1"/>
          <w:numId w:val="1"/>
        </w:numPr>
        <w:spacing w:after="40"/>
      </w:pPr>
      <w:r>
        <w:t xml:space="preserve">Thank the employee for their service and explain remaining offboarding steps</w:t>
      </w:r>
    </w:p>
    <w:p>
      <w:pPr>
        <w:pStyle w:val="Heading3"/>
        <w:spacing w:after="40" w:before="160"/>
      </w:pPr>
      <w:r>
        <w:t xml:space="preserve">Step 7: Process final pay and benefits separation</w:t>
      </w:r>
    </w:p>
    <w:p>
      <w:pPr>
        <w:spacing w:after="100"/>
      </w:pPr>
      <w:r>
        <w:t xml:space="preserve">The benefits administrator meets with the departing employee to review COBRA health insurance continuation, retirement account options (403(b) rollover for education), accrued leave payout per institutional policy, and the timeline for the final paycheck. Provide all required separation documents and ensure the employee's forwarding address is on file.</w:t>
      </w:r>
    </w:p>
    <w:p>
      <w:pPr>
        <w:pStyle w:val="ListParagraph"/>
        <w:numPr>
          <w:ilvl w:val="1"/>
          <w:numId w:val="1"/>
        </w:numPr>
        <w:spacing w:after="40"/>
      </w:pPr>
      <w:r>
        <w:t xml:space="preserve">Calculate final pay including accrued vacation or sick leave per policy</w:t>
      </w:r>
    </w:p>
    <w:p>
      <w:pPr>
        <w:pStyle w:val="ListParagraph"/>
        <w:numPr>
          <w:ilvl w:val="1"/>
          <w:numId w:val="1"/>
        </w:numPr>
        <w:spacing w:after="40"/>
      </w:pPr>
      <w:r>
        <w:t xml:space="preserve">Explain COBRA health insurance continuation options and enrollment deadline</w:t>
      </w:r>
    </w:p>
    <w:p>
      <w:pPr>
        <w:pStyle w:val="ListParagraph"/>
        <w:numPr>
          <w:ilvl w:val="1"/>
          <w:numId w:val="1"/>
        </w:numPr>
        <w:spacing w:after="40"/>
      </w:pPr>
      <w:r>
        <w:t xml:space="preserve">Review 403(b) retirement plan options: leave in place, roll over, or cash out</w:t>
      </w:r>
    </w:p>
    <w:p>
      <w:pPr>
        <w:pStyle w:val="ListParagraph"/>
        <w:numPr>
          <w:ilvl w:val="1"/>
          <w:numId w:val="1"/>
        </w:numPr>
        <w:spacing w:after="40"/>
      </w:pPr>
      <w:r>
        <w:t xml:space="preserve">Provide state-required separation documents (varies by state)</w:t>
      </w:r>
    </w:p>
    <w:p>
      <w:pPr>
        <w:pStyle w:val="ListParagraph"/>
        <w:numPr>
          <w:ilvl w:val="1"/>
          <w:numId w:val="1"/>
        </w:numPr>
        <w:spacing w:after="40"/>
      </w:pPr>
      <w:r>
        <w:t xml:space="preserve">Confirm the employee's forwarding address for W-2 and final correspondence</w:t>
      </w:r>
    </w:p>
    <w:p>
      <w:pPr>
        <w:pStyle w:val="Heading3"/>
        <w:spacing w:after="40" w:before="160"/>
      </w:pPr>
      <w:r>
        <w:t xml:space="preserve">Step 8: Close the offboarding checklist and file</w:t>
      </w:r>
    </w:p>
    <w:p>
      <w:pPr>
        <w:spacing w:after="100"/>
      </w:pPr>
      <w:r>
        <w:t xml:space="preserve">After all steps are complete, the HR coordinator reviews the offboarding checklist to confirm every item is resolved: property returned, access revoked, knowledge transferred, exit interview completed, final pay processed. Close the checklist in the HRIS and file the signed property return form and exit interview record in the employee's personnel file.</w:t>
      </w:r>
    </w:p>
    <w:p>
      <w:pPr>
        <w:pStyle w:val="ListParagraph"/>
        <w:numPr>
          <w:ilvl w:val="1"/>
          <w:numId w:val="1"/>
        </w:numPr>
        <w:spacing w:after="40"/>
      </w:pPr>
      <w:r>
        <w:t xml:space="preserve">Review the offboarding checklist for any incomplete items</w:t>
      </w:r>
    </w:p>
    <w:p>
      <w:pPr>
        <w:pStyle w:val="ListParagraph"/>
        <w:numPr>
          <w:ilvl w:val="1"/>
          <w:numId w:val="1"/>
        </w:numPr>
        <w:spacing w:after="40"/>
      </w:pPr>
      <w:r>
        <w:t xml:space="preserve">Resolve any outstanding items (missing equipment, pending access revocation)</w:t>
      </w:r>
    </w:p>
    <w:p>
      <w:pPr>
        <w:pStyle w:val="ListParagraph"/>
        <w:numPr>
          <w:ilvl w:val="1"/>
          <w:numId w:val="1"/>
        </w:numPr>
        <w:spacing w:after="40"/>
      </w:pPr>
      <w:r>
        <w:t xml:space="preserve">Close the offboarding record in the HRIS</w:t>
      </w:r>
    </w:p>
    <w:p>
      <w:pPr>
        <w:pStyle w:val="ListParagraph"/>
        <w:numPr>
          <w:ilvl w:val="1"/>
          <w:numId w:val="1"/>
        </w:numPr>
        <w:spacing w:after="40"/>
      </w:pPr>
      <w:r>
        <w:t xml:space="preserve">File the signed property return form in the personnel file</w:t>
      </w:r>
    </w:p>
    <w:p>
      <w:pPr>
        <w:pStyle w:val="ListParagraph"/>
        <w:numPr>
          <w:ilvl w:val="1"/>
          <w:numId w:val="1"/>
        </w:numPr>
        <w:spacing w:after="40"/>
      </w:pPr>
      <w:r>
        <w:t xml:space="preserve">File the exit interview record (confidential) per data retention policy</w:t>
      </w:r>
    </w:p>
    <w:p>
      <w:pPr>
        <w:pStyle w:val="Heading2"/>
        <w:spacing w:after="100" w:before="240"/>
      </w:pPr>
      <w:r>
        <w:t xml:space="preserve">Completion Checklist</w:t>
      </w:r>
    </w:p>
    <w:p>
      <w:pPr>
        <w:spacing w:after="40"/>
      </w:pPr>
      <w:r>
        <w:t xml:space="preserve">☐  Separation notice received and last day confirmed</w:t>
      </w:r>
    </w:p>
    <w:p>
      <w:pPr>
        <w:spacing w:after="40"/>
      </w:pPr>
      <w:r>
        <w:t xml:space="preserve">☐  IT, benefits, campus security, and payroll notified on day of notice</w:t>
      </w:r>
    </w:p>
    <w:p>
      <w:pPr>
        <w:spacing w:after="40"/>
      </w:pPr>
      <w:r>
        <w:t xml:space="preserve">☐  Knowledge transfer sessions completed with replacement or interim coverage</w:t>
      </w:r>
    </w:p>
    <w:p>
      <w:pPr>
        <w:spacing w:after="40"/>
      </w:pPr>
      <w:r>
        <w:t xml:space="preserve">☐  All institutional property returned and signed checklist on file</w:t>
      </w:r>
    </w:p>
    <w:p>
      <w:pPr>
        <w:spacing w:after="40"/>
      </w:pPr>
      <w:r>
        <w:t xml:space="preserve">☐  System access revoked for all institutional systems on last day</w:t>
      </w:r>
    </w:p>
    <w:p>
      <w:pPr>
        <w:spacing w:after="40"/>
      </w:pPr>
      <w:r>
        <w:t xml:space="preserve">☐  Banner or PowerSchool access disabled (FERPA compliance)</w:t>
      </w:r>
    </w:p>
    <w:p>
      <w:pPr>
        <w:spacing w:after="40"/>
      </w:pPr>
      <w:r>
        <w:t xml:space="preserve">☐  Canvas or Blackboard instructor account disabled</w:t>
      </w:r>
    </w:p>
    <w:p>
      <w:pPr>
        <w:spacing w:after="40"/>
      </w:pPr>
      <w:r>
        <w:t xml:space="preserve">☐  Email auto-reply set and file ownership transferred</w:t>
      </w:r>
    </w:p>
    <w:p>
      <w:pPr>
        <w:spacing w:after="40"/>
      </w:pPr>
      <w:r>
        <w:t xml:space="preserve">☐  Building access badge deactivated</w:t>
      </w:r>
    </w:p>
    <w:p>
      <w:pPr>
        <w:spacing w:after="40"/>
      </w:pPr>
      <w:r>
        <w:t xml:space="preserve">☐  Exit interview completed</w:t>
      </w:r>
    </w:p>
    <w:p>
      <w:pPr>
        <w:spacing w:after="40"/>
      </w:pPr>
      <w:r>
        <w:t xml:space="preserve">☐  COBRA and retirement plan options communicated</w:t>
      </w:r>
    </w:p>
    <w:p>
      <w:pPr>
        <w:spacing w:after="40"/>
      </w:pPr>
      <w:r>
        <w:t xml:space="preserve">☐  Final paycheck processed with accrued leave payout</w:t>
      </w:r>
    </w:p>
    <w:p>
      <w:pPr>
        <w:spacing w:after="40"/>
      </w:pPr>
      <w:r>
        <w:t xml:space="preserve">☐  Offboarding checklist closed and filed in HRIS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System access revocation timeliness</w:t>
            </w:r>
          </w:p>
        </w:tc>
        <w:tc>
          <w:tcPr>
            <w:tcMar>
              <w:top w:type="dxa" w:w="60"/>
              <w:left w:type="dxa" w:w="120"/>
              <w:bottom w:type="dxa" w:w="60"/>
              <w:right w:type="dxa" w:w="120"/>
            </w:tcMar>
          </w:tcPr>
          <w:p>
            <w:r>
              <w:rPr>
                <w:b w:val="false"/>
                <w:bCs w:val="false"/>
              </w:rPr>
              <w:t xml:space="preserve">100% of accounts disabled by end of business on last day</w:t>
            </w:r>
          </w:p>
        </w:tc>
      </w:tr>
      <w:tr>
        <w:trPr>
          <w:tblHeader w:val="false"/>
        </w:trPr>
        <w:tc>
          <w:tcPr>
            <w:tcMar>
              <w:top w:type="dxa" w:w="60"/>
              <w:left w:type="dxa" w:w="120"/>
              <w:bottom w:type="dxa" w:w="60"/>
              <w:right w:type="dxa" w:w="120"/>
            </w:tcMar>
          </w:tcPr>
          <w:p>
            <w:r>
              <w:rPr>
                <w:b w:val="false"/>
                <w:bCs w:val="false"/>
              </w:rPr>
              <w:t xml:space="preserve">Property return completion</w:t>
            </w:r>
          </w:p>
        </w:tc>
        <w:tc>
          <w:tcPr>
            <w:tcMar>
              <w:top w:type="dxa" w:w="60"/>
              <w:left w:type="dxa" w:w="120"/>
              <w:bottom w:type="dxa" w:w="60"/>
              <w:right w:type="dxa" w:w="120"/>
            </w:tcMar>
          </w:tcPr>
          <w:p>
            <w:r>
              <w:rPr>
                <w:b w:val="false"/>
                <w:bCs w:val="false"/>
              </w:rPr>
              <w:t xml:space="preserve">100% of items returned before last day</w:t>
            </w:r>
          </w:p>
        </w:tc>
      </w:tr>
      <w:tr>
        <w:trPr>
          <w:tblHeader w:val="false"/>
        </w:trPr>
        <w:tc>
          <w:tcPr>
            <w:tcMar>
              <w:top w:type="dxa" w:w="60"/>
              <w:left w:type="dxa" w:w="120"/>
              <w:bottom w:type="dxa" w:w="60"/>
              <w:right w:type="dxa" w:w="120"/>
            </w:tcMar>
          </w:tcPr>
          <w:p>
            <w:r>
              <w:rPr>
                <w:b w:val="false"/>
                <w:bCs w:val="false"/>
              </w:rPr>
              <w:t xml:space="preserve">Exit interview completion rate</w:t>
            </w:r>
          </w:p>
        </w:tc>
        <w:tc>
          <w:tcPr>
            <w:tcMar>
              <w:top w:type="dxa" w:w="60"/>
              <w:left w:type="dxa" w:w="120"/>
              <w:bottom w:type="dxa" w:w="60"/>
              <w:right w:type="dxa" w:w="120"/>
            </w:tcMar>
          </w:tcPr>
          <w:p>
            <w:r>
              <w:rPr>
                <w:b w:val="false"/>
                <w:bCs w:val="false"/>
              </w:rPr>
              <w:t xml:space="preserve">90% or higher of voluntary departures</w:t>
            </w:r>
          </w:p>
        </w:tc>
      </w:tr>
      <w:tr>
        <w:trPr>
          <w:tblHeader w:val="false"/>
        </w:trPr>
        <w:tc>
          <w:tcPr>
            <w:tcMar>
              <w:top w:type="dxa" w:w="60"/>
              <w:left w:type="dxa" w:w="120"/>
              <w:bottom w:type="dxa" w:w="60"/>
              <w:right w:type="dxa" w:w="120"/>
            </w:tcMar>
          </w:tcPr>
          <w:p>
            <w:r>
              <w:rPr>
                <w:b w:val="false"/>
                <w:bCs w:val="false"/>
              </w:rPr>
              <w:t xml:space="preserve">Knowledge transfer completion</w:t>
            </w:r>
          </w:p>
        </w:tc>
        <w:tc>
          <w:tcPr>
            <w:tcMar>
              <w:top w:type="dxa" w:w="60"/>
              <w:left w:type="dxa" w:w="120"/>
              <w:bottom w:type="dxa" w:w="60"/>
              <w:right w:type="dxa" w:w="120"/>
            </w:tcMar>
          </w:tcPr>
          <w:p>
            <w:r>
              <w:rPr>
                <w:b w:val="false"/>
                <w:bCs w:val="false"/>
              </w:rPr>
              <w:t xml:space="preserve">100% of departing employees with documented knowledge transfer</w:t>
            </w:r>
          </w:p>
        </w:tc>
      </w:tr>
    </w:tbl>
    <w:p>
      <w:pPr>
        <w:pStyle w:val="Heading2"/>
        <w:spacing w:after="100" w:before="240"/>
      </w:pPr>
      <w:r>
        <w:t xml:space="preserve">Revision Schedule</w:t>
      </w:r>
    </w:p>
    <w:p>
      <w:pPr>
        <w:spacing w:after="100"/>
      </w:pPr>
      <w:r>
        <w:t xml:space="preserve">Annually, or immediately after changes to FERPA requirements, state employment law, or institutional HRIS system.</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Offboarding for Education</dc:title>
  <dc:creator>Glyde</dc:creator>
  <dc:description>Free employee offboarding SOP template for education HR teams. Step-by-step procedures for handling departing faculty and staff at schools and universities.</dc:description>
  <cp:lastModifiedBy>Un-named</cp:lastModifiedBy>
  <cp:revision>1</cp:revision>
  <dcterms:created xsi:type="dcterms:W3CDTF">2026-07-22T08:34:35.919Z</dcterms:created>
  <dcterms:modified xsi:type="dcterms:W3CDTF">2026-07-22T08:34:35.919Z</dcterms:modified>
</cp:coreProperties>
</file>

<file path=docProps/custom.xml><?xml version="1.0" encoding="utf-8"?>
<Properties xmlns="http://schemas.openxmlformats.org/officeDocument/2006/custom-properties" xmlns:vt="http://schemas.openxmlformats.org/officeDocument/2006/docPropsVTypes"/>
</file>