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Offboarding SOP Template for Insurance Teams</w:t>
      </w:r>
    </w:p>
    <w:p>
      <w:pPr>
        <w:spacing w:after="200"/>
      </w:pPr>
      <w:r>
        <w:rPr>
          <w:i/>
          <w:iCs/>
          <w:color w:val="6B7280"/>
        </w:rPr>
        <w:t xml:space="preserve">Free offboarding SOP for insurance agencies. Covers book transfer, carrier notification, and client communication.</w:t>
      </w:r>
    </w:p>
    <w:p>
      <w:pPr>
        <w:pStyle w:val="Heading2"/>
        <w:spacing w:after="100" w:before="240"/>
      </w:pPr>
      <w:r>
        <w:t xml:space="preserve">Purpose</w:t>
      </w:r>
    </w:p>
    <w:p>
      <w:pPr>
        <w:spacing w:after="100"/>
      </w:pPr>
      <w:r>
        <w:t xml:space="preserve">Process agent and staff departures so that client accounts are transferred without disruption, carrier appointments are properly handled, and the agency retains the book of business. A poorly managed agent departure can cost the agency 20-40% of the departing agent's book within 12 months.</w:t>
      </w:r>
    </w:p>
    <w:p>
      <w:pPr>
        <w:pStyle w:val="Heading2"/>
        <w:spacing w:after="100" w:before="240"/>
      </w:pPr>
      <w:r>
        <w:t xml:space="preserve">Scope</w:t>
      </w:r>
    </w:p>
    <w:p>
      <w:pPr>
        <w:spacing w:after="100"/>
      </w:pPr>
      <w:r>
        <w:t xml:space="preserve">Covers voluntary resignations, terminations, and retirements for licensed agents and support staff. Does not cover independent contractor or broker separation.</w:t>
      </w:r>
    </w:p>
    <w:p>
      <w:pPr>
        <w:pStyle w:val="Heading2"/>
        <w:spacing w:after="100" w:before="240"/>
      </w:pPr>
      <w:r>
        <w:t xml:space="preserve">Prerequisites</w:t>
      </w:r>
    </w:p>
    <w:p>
      <w:pPr>
        <w:pStyle w:val="ListParagraph"/>
        <w:numPr>
          <w:ilvl w:val="0"/>
          <w:numId w:val="1"/>
        </w:numPr>
        <w:spacing w:after="40"/>
      </w:pPr>
      <w:r>
        <w:t xml:space="preserve">Employment agreement and non-compete/non-solicitation terms reviewed</w:t>
      </w:r>
    </w:p>
    <w:p>
      <w:pPr>
        <w:pStyle w:val="ListParagraph"/>
        <w:numPr>
          <w:ilvl w:val="0"/>
          <w:numId w:val="1"/>
        </w:numPr>
        <w:spacing w:after="40"/>
      </w:pPr>
      <w:r>
        <w:t xml:space="preserve">Book of business assignment records current in AMS</w:t>
      </w:r>
    </w:p>
    <w:p>
      <w:pPr>
        <w:pStyle w:val="ListParagraph"/>
        <w:numPr>
          <w:ilvl w:val="0"/>
          <w:numId w:val="1"/>
        </w:numPr>
        <w:spacing w:after="40"/>
      </w:pPr>
      <w:r>
        <w:t xml:space="preserve">Carrier appointment termination procedures documented</w:t>
      </w:r>
    </w:p>
    <w:p>
      <w:pPr>
        <w:pStyle w:val="ListParagraph"/>
        <w:numPr>
          <w:ilvl w:val="0"/>
          <w:numId w:val="1"/>
        </w:numPr>
        <w:spacing w:after="40"/>
      </w:pPr>
      <w:r>
        <w:t xml:space="preserve">Client communication templates prepared</w:t>
      </w:r>
    </w:p>
    <w:p>
      <w:pPr>
        <w:pStyle w:val="ListParagraph"/>
        <w:numPr>
          <w:ilvl w:val="0"/>
          <w:numId w:val="1"/>
        </w:numPr>
        <w:spacing w:after="40"/>
      </w:pPr>
      <w:r>
        <w:t xml:space="preserve">State-specific final pay requirements documented</w:t>
      </w:r>
    </w:p>
    <w:p>
      <w:pPr>
        <w:pStyle w:val="Heading2"/>
        <w:spacing w:after="100" w:before="240"/>
      </w:pPr>
      <w:r>
        <w:t xml:space="preserve">Roles &amp; Responsibilities</w:t>
      </w:r>
    </w:p>
    <w:p>
      <w:pPr>
        <w:spacing w:after="40" w:before="120"/>
      </w:pPr>
      <w:r>
        <w:rPr>
          <w:b/>
          <w:bCs/>
        </w:rPr>
        <w:t xml:space="preserve">Agency Principal</w:t>
      </w:r>
    </w:p>
    <w:p>
      <w:pPr>
        <w:pStyle w:val="ListParagraph"/>
        <w:numPr>
          <w:ilvl w:val="0"/>
          <w:numId w:val="1"/>
        </w:numPr>
        <w:spacing w:after="40"/>
      </w:pPr>
      <w:r>
        <w:t xml:space="preserve">Determine book of business reassignment strategy</w:t>
      </w:r>
    </w:p>
    <w:p>
      <w:pPr>
        <w:pStyle w:val="ListParagraph"/>
        <w:numPr>
          <w:ilvl w:val="0"/>
          <w:numId w:val="1"/>
        </w:numPr>
        <w:spacing w:after="40"/>
      </w:pPr>
      <w:r>
        <w:t xml:space="preserve">Notify carriers of appointment termination</w:t>
      </w:r>
    </w:p>
    <w:p>
      <w:pPr>
        <w:pStyle w:val="ListParagraph"/>
        <w:numPr>
          <w:ilvl w:val="0"/>
          <w:numId w:val="1"/>
        </w:numPr>
        <w:spacing w:after="40"/>
      </w:pPr>
      <w:r>
        <w:t xml:space="preserve">Communicate with key clients about the transition</w:t>
      </w:r>
    </w:p>
    <w:p>
      <w:pPr>
        <w:spacing w:after="40" w:before="120"/>
      </w:pPr>
      <w:r>
        <w:rPr>
          <w:b/>
          <w:bCs/>
        </w:rPr>
        <w:t xml:space="preserve">Office Manager / HR</w:t>
      </w:r>
    </w:p>
    <w:p>
      <w:pPr>
        <w:pStyle w:val="ListParagraph"/>
        <w:numPr>
          <w:ilvl w:val="0"/>
          <w:numId w:val="1"/>
        </w:numPr>
        <w:spacing w:after="40"/>
      </w:pPr>
      <w:r>
        <w:t xml:space="preserve">Process final payroll and benefits termination</w:t>
      </w:r>
    </w:p>
    <w:p>
      <w:pPr>
        <w:pStyle w:val="ListParagraph"/>
        <w:numPr>
          <w:ilvl w:val="0"/>
          <w:numId w:val="1"/>
        </w:numPr>
        <w:spacing w:after="40"/>
      </w:pPr>
      <w:r>
        <w:t xml:space="preserve">Collect company property and revoke system access</w:t>
      </w:r>
    </w:p>
    <w:p>
      <w:pPr>
        <w:pStyle w:val="ListParagraph"/>
        <w:numPr>
          <w:ilvl w:val="0"/>
          <w:numId w:val="1"/>
        </w:numPr>
        <w:spacing w:after="40"/>
      </w:pPr>
      <w:r>
        <w:t xml:space="preserve">Coordinate the book transfer in the AMS</w:t>
      </w:r>
    </w:p>
    <w:p>
      <w:pPr>
        <w:spacing w:after="40" w:before="120"/>
      </w:pPr>
      <w:r>
        <w:rPr>
          <w:b/>
          <w:bCs/>
        </w:rPr>
        <w:t xml:space="preserve">Receiving Agent / Account Manager</w:t>
      </w:r>
    </w:p>
    <w:p>
      <w:pPr>
        <w:pStyle w:val="ListParagraph"/>
        <w:numPr>
          <w:ilvl w:val="0"/>
          <w:numId w:val="1"/>
        </w:numPr>
        <w:spacing w:after="40"/>
      </w:pPr>
      <w:r>
        <w:t xml:space="preserve">Review transferred accounts and contact each client</w:t>
      </w:r>
    </w:p>
    <w:p>
      <w:pPr>
        <w:pStyle w:val="ListParagraph"/>
        <w:numPr>
          <w:ilvl w:val="0"/>
          <w:numId w:val="1"/>
        </w:numPr>
        <w:spacing w:after="40"/>
      </w:pPr>
      <w:r>
        <w:t xml:space="preserve">Learn the account history and renewal dates</w:t>
      </w:r>
    </w:p>
    <w:p>
      <w:pPr>
        <w:pStyle w:val="ListParagraph"/>
        <w:numPr>
          <w:ilvl w:val="0"/>
          <w:numId w:val="1"/>
        </w:numPr>
        <w:spacing w:after="40"/>
      </w:pPr>
      <w:r>
        <w:t xml:space="preserve">Maintain service continuity during the transition</w:t>
      </w:r>
    </w:p>
    <w:p>
      <w:pPr>
        <w:pStyle w:val="Heading2"/>
        <w:spacing w:after="100" w:before="240"/>
      </w:pPr>
      <w:r>
        <w:t xml:space="preserve">Procedure</w:t>
      </w:r>
    </w:p>
    <w:p>
      <w:pPr>
        <w:pStyle w:val="Heading3"/>
        <w:spacing w:after="40" w:before="160"/>
      </w:pPr>
      <w:r>
        <w:t xml:space="preserve">Step 1: Initiate offboarding and review agreements</w:t>
      </w:r>
    </w:p>
    <w:p>
      <w:pPr>
        <w:spacing w:after="100"/>
      </w:pPr>
      <w:r>
        <w:t xml:space="preserve">Upon notice of departure, immediately review the agent's employment agreement, non-compete, and non-solicitation clauses. Determine the scope of restrictions: can the agent solicit clients? Is the book of business agency-owned or agent-owned? Understanding these terms before communicating with the departing agent prevents costly mistakes.</w:t>
      </w:r>
    </w:p>
    <w:p>
      <w:pPr>
        <w:pStyle w:val="ListParagraph"/>
        <w:numPr>
          <w:ilvl w:val="1"/>
          <w:numId w:val="1"/>
        </w:numPr>
        <w:spacing w:after="40"/>
      </w:pPr>
      <w:r>
        <w:t xml:space="preserve">Review the employment agreement for non-compete and non-solicitation terms</w:t>
      </w:r>
    </w:p>
    <w:p>
      <w:pPr>
        <w:pStyle w:val="ListParagraph"/>
        <w:numPr>
          <w:ilvl w:val="1"/>
          <w:numId w:val="1"/>
        </w:numPr>
        <w:spacing w:after="40"/>
      </w:pPr>
      <w:r>
        <w:t xml:space="preserve">Determine book of business ownership per the agreement</w:t>
      </w:r>
    </w:p>
    <w:p>
      <w:pPr>
        <w:pStyle w:val="ListParagraph"/>
        <w:numPr>
          <w:ilvl w:val="1"/>
          <w:numId w:val="1"/>
        </w:numPr>
        <w:spacing w:after="40"/>
      </w:pPr>
      <w:r>
        <w:t xml:space="preserve">Consult with legal counsel for involuntary terminations</w:t>
      </w:r>
    </w:p>
    <w:p>
      <w:pPr>
        <w:pStyle w:val="ListParagraph"/>
        <w:numPr>
          <w:ilvl w:val="1"/>
          <w:numId w:val="1"/>
        </w:numPr>
        <w:spacing w:after="40"/>
      </w:pPr>
      <w:r>
        <w:t xml:space="preserve">Document the departure reason and last day</w:t>
      </w:r>
    </w:p>
    <w:p>
      <w:pPr>
        <w:pStyle w:val="ListParagraph"/>
        <w:numPr>
          <w:ilvl w:val="1"/>
          <w:numId w:val="1"/>
        </w:numPr>
        <w:spacing w:after="40"/>
      </w:pPr>
      <w:r>
        <w:t xml:space="preserve">Notify the operations manager and carrier relationships manager</w:t>
      </w:r>
    </w:p>
    <w:p>
      <w:pPr>
        <w:pStyle w:val="Heading3"/>
        <w:spacing w:after="40" w:before="160"/>
      </w:pPr>
      <w:r>
        <w:t xml:space="preserve">Step 2: Reassign the book of business</w:t>
      </w:r>
    </w:p>
    <w:p>
      <w:pPr>
        <w:spacing w:after="100"/>
      </w:pPr>
      <w:r>
        <w:t xml:space="preserve">Assign the departing agent's accounts to receiving agents or account managers. Consider: account size, complexity, line of business match, and the receiving agent's current workload. For large books, split across multiple agents. Update all assignments in the AMS immediately — carrier downloads must map to the correct servicing agent.</w:t>
      </w:r>
    </w:p>
    <w:p>
      <w:pPr>
        <w:pStyle w:val="ListParagraph"/>
        <w:numPr>
          <w:ilvl w:val="1"/>
          <w:numId w:val="1"/>
        </w:numPr>
        <w:spacing w:after="40"/>
      </w:pPr>
      <w:r>
        <w:t xml:space="preserve">Pull the departing agent's full book from the AMS</w:t>
      </w:r>
    </w:p>
    <w:p>
      <w:pPr>
        <w:pStyle w:val="ListParagraph"/>
        <w:numPr>
          <w:ilvl w:val="1"/>
          <w:numId w:val="1"/>
        </w:numPr>
        <w:spacing w:after="40"/>
      </w:pPr>
      <w:r>
        <w:t xml:space="preserve">Categorize accounts by size, complexity, and line of business</w:t>
      </w:r>
    </w:p>
    <w:p>
      <w:pPr>
        <w:pStyle w:val="ListParagraph"/>
        <w:numPr>
          <w:ilvl w:val="1"/>
          <w:numId w:val="1"/>
        </w:numPr>
        <w:spacing w:after="40"/>
      </w:pPr>
      <w:r>
        <w:t xml:space="preserve">Assign accounts to receiving agents based on expertise and capacity</w:t>
      </w:r>
    </w:p>
    <w:p>
      <w:pPr>
        <w:pStyle w:val="ListParagraph"/>
        <w:numPr>
          <w:ilvl w:val="1"/>
          <w:numId w:val="1"/>
        </w:numPr>
        <w:spacing w:after="40"/>
      </w:pPr>
      <w:r>
        <w:t xml:space="preserve">Update producer and service codes in the AMS for every account</w:t>
      </w:r>
    </w:p>
    <w:p>
      <w:pPr>
        <w:pStyle w:val="ListParagraph"/>
        <w:numPr>
          <w:ilvl w:val="1"/>
          <w:numId w:val="1"/>
        </w:numPr>
        <w:spacing w:after="40"/>
      </w:pPr>
      <w:r>
        <w:t xml:space="preserve">Update carrier portal assignments where applicable</w:t>
      </w:r>
    </w:p>
    <w:p>
      <w:pPr>
        <w:pStyle w:val="ListParagraph"/>
        <w:numPr>
          <w:ilvl w:val="1"/>
          <w:numId w:val="1"/>
        </w:numPr>
        <w:spacing w:after="40"/>
      </w:pPr>
      <w:r>
        <w:t xml:space="preserve">Generate account transfer reports for each receiving agent</w:t>
      </w:r>
    </w:p>
    <w:p>
      <w:pPr>
        <w:spacing w:after="100"/>
      </w:pPr>
      <w:r>
        <w:rPr>
          <w:i/>
          <w:iCs/>
          <w:color w:val="B45309"/>
        </w:rPr>
        <w:t xml:space="preserve">Warning: Update AMS assignments before the departing agent's last day. If carrier downloads continue mapping to a departed agent's code, renewals and policy changes can be missed. This is the most time-sensitive step in agent offboarding.</w:t>
      </w:r>
    </w:p>
    <w:p>
      <w:pPr>
        <w:pStyle w:val="Heading3"/>
        <w:spacing w:after="40" w:before="160"/>
      </w:pPr>
      <w:r>
        <w:t xml:space="preserve">Step 3: Communicate with clients</w:t>
      </w:r>
    </w:p>
    <w:p>
      <w:pPr>
        <w:spacing w:after="100"/>
      </w:pPr>
      <w:r>
        <w:t xml:space="preserve">Contact every client in the departing agent's book to introduce their new service contact. For key accounts, the agency principal should make a personal call. For the full book, send a professional letter or email introducing the new agent and providing updated contact information. The goal: clients should hear from the agency before they hear from the departing agent.</w:t>
      </w:r>
    </w:p>
    <w:p>
      <w:pPr>
        <w:pStyle w:val="ListParagraph"/>
        <w:numPr>
          <w:ilvl w:val="1"/>
          <w:numId w:val="1"/>
        </w:numPr>
        <w:spacing w:after="40"/>
      </w:pPr>
      <w:r>
        <w:t xml:space="preserve">Identify key accounts requiring personal outreach from agency leadership</w:t>
      </w:r>
    </w:p>
    <w:p>
      <w:pPr>
        <w:pStyle w:val="ListParagraph"/>
        <w:numPr>
          <w:ilvl w:val="1"/>
          <w:numId w:val="1"/>
        </w:numPr>
        <w:spacing w:after="40"/>
      </w:pPr>
      <w:r>
        <w:t xml:space="preserve">Call key accounts to introduce the new service contact</w:t>
      </w:r>
    </w:p>
    <w:p>
      <w:pPr>
        <w:pStyle w:val="ListParagraph"/>
        <w:numPr>
          <w:ilvl w:val="1"/>
          <w:numId w:val="1"/>
        </w:numPr>
        <w:spacing w:after="40"/>
      </w:pPr>
      <w:r>
        <w:t xml:space="preserve">Send written communication to all remaining accounts</w:t>
      </w:r>
    </w:p>
    <w:p>
      <w:pPr>
        <w:pStyle w:val="ListParagraph"/>
        <w:numPr>
          <w:ilvl w:val="1"/>
          <w:numId w:val="1"/>
        </w:numPr>
        <w:spacing w:after="40"/>
      </w:pPr>
      <w:r>
        <w:t xml:space="preserve">Provide the new agent's contact information and confirm continuity</w:t>
      </w:r>
    </w:p>
    <w:p>
      <w:pPr>
        <w:pStyle w:val="ListParagraph"/>
        <w:numPr>
          <w:ilvl w:val="1"/>
          <w:numId w:val="1"/>
        </w:numPr>
        <w:spacing w:after="40"/>
      </w:pPr>
      <w:r>
        <w:t xml:space="preserve">Reassure clients that their coverage and service are unaffected</w:t>
      </w:r>
    </w:p>
    <w:p>
      <w:pPr>
        <w:pStyle w:val="ListParagraph"/>
        <w:numPr>
          <w:ilvl w:val="1"/>
          <w:numId w:val="1"/>
        </w:numPr>
        <w:spacing w:after="40"/>
      </w:pPr>
      <w:r>
        <w:t xml:space="preserve">Document all client communications in the AMS</w:t>
      </w:r>
    </w:p>
    <w:p>
      <w:pPr>
        <w:pStyle w:val="Heading3"/>
        <w:spacing w:after="40" w:before="160"/>
      </w:pPr>
      <w:r>
        <w:t xml:space="preserve">Step 4: Notify carriers and handle appointments</w:t>
      </w:r>
    </w:p>
    <w:p>
      <w:pPr>
        <w:spacing w:after="100"/>
      </w:pPr>
      <w:r>
        <w:t xml:space="preserve">Notify each carrier where the departing agent held an appointment. For agency appointments (most cases), the agent's individual appointment is terminated but the agency relationship continues. For agents with personal appointments, coordinate the transition carefully to ensure client coverage continuity.</w:t>
      </w:r>
    </w:p>
    <w:p>
      <w:pPr>
        <w:pStyle w:val="ListParagraph"/>
        <w:numPr>
          <w:ilvl w:val="1"/>
          <w:numId w:val="1"/>
        </w:numPr>
        <w:spacing w:after="40"/>
      </w:pPr>
      <w:r>
        <w:t xml:space="preserve">List all carrier appointments held by the departing agent</w:t>
      </w:r>
    </w:p>
    <w:p>
      <w:pPr>
        <w:pStyle w:val="ListParagraph"/>
        <w:numPr>
          <w:ilvl w:val="1"/>
          <w:numId w:val="1"/>
        </w:numPr>
        <w:spacing w:after="40"/>
      </w:pPr>
      <w:r>
        <w:t xml:space="preserve">Submit appointment termination requests to each carrier</w:t>
      </w:r>
    </w:p>
    <w:p>
      <w:pPr>
        <w:pStyle w:val="ListParagraph"/>
        <w:numPr>
          <w:ilvl w:val="1"/>
          <w:numId w:val="1"/>
        </w:numPr>
        <w:spacing w:after="40"/>
      </w:pPr>
      <w:r>
        <w:t xml:space="preserve">Verify agency-level appointments remain active</w:t>
      </w:r>
    </w:p>
    <w:p>
      <w:pPr>
        <w:pStyle w:val="ListParagraph"/>
        <w:numPr>
          <w:ilvl w:val="1"/>
          <w:numId w:val="1"/>
        </w:numPr>
        <w:spacing w:after="40"/>
      </w:pPr>
      <w:r>
        <w:t xml:space="preserve">For personal appointments, coordinate transition with the carrier</w:t>
      </w:r>
    </w:p>
    <w:p>
      <w:pPr>
        <w:pStyle w:val="ListParagraph"/>
        <w:numPr>
          <w:ilvl w:val="1"/>
          <w:numId w:val="1"/>
        </w:numPr>
        <w:spacing w:after="40"/>
      </w:pPr>
      <w:r>
        <w:t xml:space="preserve">Update carrier portal access to remove the departing agent</w:t>
      </w:r>
    </w:p>
    <w:p>
      <w:pPr>
        <w:pStyle w:val="ListParagraph"/>
        <w:numPr>
          <w:ilvl w:val="1"/>
          <w:numId w:val="1"/>
        </w:numPr>
        <w:spacing w:after="40"/>
      </w:pPr>
      <w:r>
        <w:t xml:space="preserve">Confirm all appointment changes are processed</w:t>
      </w:r>
    </w:p>
    <w:p>
      <w:pPr>
        <w:pStyle w:val="Heading3"/>
        <w:spacing w:after="40" w:before="160"/>
      </w:pPr>
      <w:r>
        <w:t xml:space="preserve">Step 5: Revoke access and collect property</w:t>
      </w:r>
    </w:p>
    <w:p>
      <w:pPr>
        <w:spacing w:after="100"/>
      </w:pPr>
      <w:r>
        <w:t xml:space="preserve">On or before the last day, revoke all system access: AMS, carrier portals, email, phone, and any client-facing systems. Collect company property: laptop, phone, client files (physical), keys, and credit cards. For agents leaving to compete, revoke access on the last day — not after.</w:t>
      </w:r>
    </w:p>
    <w:p>
      <w:pPr>
        <w:pStyle w:val="ListParagraph"/>
        <w:numPr>
          <w:ilvl w:val="1"/>
          <w:numId w:val="1"/>
        </w:numPr>
        <w:spacing w:after="40"/>
      </w:pPr>
      <w:r>
        <w:t xml:space="preserve">Revoke AMS access and reassign any open tasks or activities</w:t>
      </w:r>
    </w:p>
    <w:p>
      <w:pPr>
        <w:pStyle w:val="ListParagraph"/>
        <w:numPr>
          <w:ilvl w:val="1"/>
          <w:numId w:val="1"/>
        </w:numPr>
        <w:spacing w:after="40"/>
      </w:pPr>
      <w:r>
        <w:t xml:space="preserve">Remove access to all carrier portals</w:t>
      </w:r>
    </w:p>
    <w:p>
      <w:pPr>
        <w:pStyle w:val="ListParagraph"/>
        <w:numPr>
          <w:ilvl w:val="1"/>
          <w:numId w:val="1"/>
        </w:numPr>
        <w:spacing w:after="40"/>
      </w:pPr>
      <w:r>
        <w:t xml:space="preserve">Deactivate email and set up auto-forwarding to the receiving agent</w:t>
      </w:r>
    </w:p>
    <w:p>
      <w:pPr>
        <w:pStyle w:val="ListParagraph"/>
        <w:numPr>
          <w:ilvl w:val="1"/>
          <w:numId w:val="1"/>
        </w:numPr>
        <w:spacing w:after="40"/>
      </w:pPr>
      <w:r>
        <w:t xml:space="preserve">Deactivate phone extension and update voicemail</w:t>
      </w:r>
    </w:p>
    <w:p>
      <w:pPr>
        <w:pStyle w:val="ListParagraph"/>
        <w:numPr>
          <w:ilvl w:val="1"/>
          <w:numId w:val="1"/>
        </w:numPr>
        <w:spacing w:after="40"/>
      </w:pPr>
      <w:r>
        <w:t xml:space="preserve">Collect laptop, phone, keys, and physical client files</w:t>
      </w:r>
    </w:p>
    <w:p>
      <w:pPr>
        <w:pStyle w:val="ListParagraph"/>
        <w:numPr>
          <w:ilvl w:val="1"/>
          <w:numId w:val="1"/>
        </w:numPr>
        <w:spacing w:after="40"/>
      </w:pPr>
      <w:r>
        <w:t xml:space="preserve">Revoke credit card and procurement authority</w:t>
      </w:r>
    </w:p>
    <w:p>
      <w:pPr>
        <w:pStyle w:val="Heading3"/>
        <w:spacing w:after="40" w:before="160"/>
      </w:pPr>
      <w:r>
        <w:t xml:space="preserve">Step 6: Process final pay and monitor retention</w:t>
      </w:r>
    </w:p>
    <w:p>
      <w:pPr>
        <w:spacing w:after="100"/>
      </w:pPr>
      <w:r>
        <w:t xml:space="preserve">Process the final paycheck including earned commissions, accrued PTO, and any retention bonuses due. After the departure, monitor the transferred book for 90 days: track retention rates, client complaints, and any non-compete violations. If clients are leaving to follow the departing agent, document the solicitation for legal action if warranted.</w:t>
      </w:r>
    </w:p>
    <w:p>
      <w:pPr>
        <w:pStyle w:val="ListParagraph"/>
        <w:numPr>
          <w:ilvl w:val="1"/>
          <w:numId w:val="1"/>
        </w:numPr>
        <w:spacing w:after="40"/>
      </w:pPr>
      <w:r>
        <w:t xml:space="preserve">Calculate final commissions through the last day</w:t>
      </w:r>
    </w:p>
    <w:p>
      <w:pPr>
        <w:pStyle w:val="ListParagraph"/>
        <w:numPr>
          <w:ilvl w:val="1"/>
          <w:numId w:val="1"/>
        </w:numPr>
        <w:spacing w:after="40"/>
      </w:pPr>
      <w:r>
        <w:t xml:space="preserve">Process final paycheck with accrued PTO per state law</w:t>
      </w:r>
    </w:p>
    <w:p>
      <w:pPr>
        <w:pStyle w:val="ListParagraph"/>
        <w:numPr>
          <w:ilvl w:val="1"/>
          <w:numId w:val="1"/>
        </w:numPr>
        <w:spacing w:after="40"/>
      </w:pPr>
      <w:r>
        <w:t xml:space="preserve">Terminate benefits and send COBRA notification</w:t>
      </w:r>
    </w:p>
    <w:p>
      <w:pPr>
        <w:pStyle w:val="ListParagraph"/>
        <w:numPr>
          <w:ilvl w:val="1"/>
          <w:numId w:val="1"/>
        </w:numPr>
        <w:spacing w:after="40"/>
      </w:pPr>
      <w:r>
        <w:t xml:space="preserve">Monitor transferred accounts for 90 days post-departure</w:t>
      </w:r>
    </w:p>
    <w:p>
      <w:pPr>
        <w:pStyle w:val="ListParagraph"/>
        <w:numPr>
          <w:ilvl w:val="1"/>
          <w:numId w:val="1"/>
        </w:numPr>
        <w:spacing w:after="40"/>
      </w:pPr>
      <w:r>
        <w:t xml:space="preserve">Track retention rate by receiving agent</w:t>
      </w:r>
    </w:p>
    <w:p>
      <w:pPr>
        <w:pStyle w:val="ListParagraph"/>
        <w:numPr>
          <w:ilvl w:val="1"/>
          <w:numId w:val="1"/>
        </w:numPr>
        <w:spacing w:after="40"/>
      </w:pPr>
      <w:r>
        <w:t xml:space="preserve">Document any suspected non-compete or non-solicitation violations</w:t>
      </w:r>
    </w:p>
    <w:p>
      <w:pPr>
        <w:pStyle w:val="ListParagraph"/>
        <w:numPr>
          <w:ilvl w:val="1"/>
          <w:numId w:val="1"/>
        </w:numPr>
        <w:spacing w:after="40"/>
      </w:pPr>
      <w:r>
        <w:t xml:space="preserve">Report suspected violations to legal counsel</w:t>
      </w:r>
    </w:p>
    <w:p>
      <w:pPr>
        <w:pStyle w:val="Heading2"/>
        <w:spacing w:after="100" w:before="240"/>
      </w:pPr>
      <w:r>
        <w:t xml:space="preserve">Completion Checklist</w:t>
      </w:r>
    </w:p>
    <w:p>
      <w:pPr>
        <w:spacing w:after="40"/>
      </w:pPr>
      <w:r>
        <w:t xml:space="preserve">☐  Employment agreement and restrictive covenants reviewed</w:t>
      </w:r>
    </w:p>
    <w:p>
      <w:pPr>
        <w:spacing w:after="40"/>
      </w:pPr>
      <w:r>
        <w:t xml:space="preserve">☐  Book of business reassigned in AMS with correct codes</w:t>
      </w:r>
    </w:p>
    <w:p>
      <w:pPr>
        <w:spacing w:after="40"/>
      </w:pPr>
      <w:r>
        <w:t xml:space="preserve">☐  Key accounts contacted personally by agency leadership</w:t>
      </w:r>
    </w:p>
    <w:p>
      <w:pPr>
        <w:spacing w:after="40"/>
      </w:pPr>
      <w:r>
        <w:t xml:space="preserve">☐  Written communication sent to all transferred accounts</w:t>
      </w:r>
    </w:p>
    <w:p>
      <w:pPr>
        <w:spacing w:after="40"/>
      </w:pPr>
      <w:r>
        <w:t xml:space="preserve">☐  All carrier appointment terminations submitted</w:t>
      </w:r>
    </w:p>
    <w:p>
      <w:pPr>
        <w:spacing w:after="40"/>
      </w:pPr>
      <w:r>
        <w:t xml:space="preserve">☐  Agency-level carrier appointments verified active</w:t>
      </w:r>
    </w:p>
    <w:p>
      <w:pPr>
        <w:spacing w:after="40"/>
      </w:pPr>
      <w:r>
        <w:t xml:space="preserve">☐  AMS access revoked on last day</w:t>
      </w:r>
    </w:p>
    <w:p>
      <w:pPr>
        <w:spacing w:after="40"/>
      </w:pPr>
      <w:r>
        <w:t xml:space="preserve">☐  All carrier portal access removed</w:t>
      </w:r>
    </w:p>
    <w:p>
      <w:pPr>
        <w:spacing w:after="40"/>
      </w:pPr>
      <w:r>
        <w:t xml:space="preserve">☐  Email deactivated with forwarding configured</w:t>
      </w:r>
    </w:p>
    <w:p>
      <w:pPr>
        <w:spacing w:after="40"/>
      </w:pPr>
      <w:r>
        <w:t xml:space="preserve">☐  Company property collected (laptop, phone, keys, files)</w:t>
      </w:r>
    </w:p>
    <w:p>
      <w:pPr>
        <w:spacing w:after="40"/>
      </w:pPr>
      <w:r>
        <w:t xml:space="preserve">☐  Final commissions calculated and paid</w:t>
      </w:r>
    </w:p>
    <w:p>
      <w:pPr>
        <w:spacing w:after="40"/>
      </w:pPr>
      <w:r>
        <w:t xml:space="preserve">☐  Final paycheck processed within state-mandated timeline</w:t>
      </w:r>
    </w:p>
    <w:p>
      <w:pPr>
        <w:spacing w:after="40"/>
      </w:pPr>
      <w:r>
        <w:t xml:space="preserve">☐  Book retention monitored for 90 days post-departure</w:t>
      </w:r>
    </w:p>
    <w:p>
      <w:pPr>
        <w:spacing w:after="40"/>
      </w:pPr>
      <w:r>
        <w:t xml:space="preserve">☐  Non-compete compliance monitored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Book retention at 90 days</w:t>
            </w:r>
          </w:p>
        </w:tc>
        <w:tc>
          <w:tcPr>
            <w:tcMar>
              <w:top w:type="dxa" w:w="60"/>
              <w:left w:type="dxa" w:w="120"/>
              <w:bottom w:type="dxa" w:w="60"/>
              <w:right w:type="dxa" w:w="120"/>
            </w:tcMar>
          </w:tcPr>
          <w:p>
            <w:r>
              <w:rPr>
                <w:b w:val="false"/>
                <w:bCs w:val="false"/>
              </w:rPr>
              <w:t xml:space="preserve">90% of transferred accounts retained</w:t>
            </w:r>
          </w:p>
        </w:tc>
      </w:tr>
      <w:tr>
        <w:trPr>
          <w:tblHeader w:val="false"/>
        </w:trPr>
        <w:tc>
          <w:tcPr>
            <w:tcMar>
              <w:top w:type="dxa" w:w="60"/>
              <w:left w:type="dxa" w:w="120"/>
              <w:bottom w:type="dxa" w:w="60"/>
              <w:right w:type="dxa" w:w="120"/>
            </w:tcMar>
          </w:tcPr>
          <w:p>
            <w:r>
              <w:rPr>
                <w:b w:val="false"/>
                <w:bCs w:val="false"/>
              </w:rPr>
              <w:t xml:space="preserve">Client communication timeliness</w:t>
            </w:r>
          </w:p>
        </w:tc>
        <w:tc>
          <w:tcPr>
            <w:tcMar>
              <w:top w:type="dxa" w:w="60"/>
              <w:left w:type="dxa" w:w="120"/>
              <w:bottom w:type="dxa" w:w="60"/>
              <w:right w:type="dxa" w:w="120"/>
            </w:tcMar>
          </w:tcPr>
          <w:p>
            <w:r>
              <w:rPr>
                <w:b w:val="false"/>
                <w:bCs w:val="false"/>
              </w:rPr>
              <w:t xml:space="preserve">100% of clients contacted within 5 business days</w:t>
            </w:r>
          </w:p>
        </w:tc>
      </w:tr>
      <w:tr>
        <w:trPr>
          <w:tblHeader w:val="false"/>
        </w:trPr>
        <w:tc>
          <w:tcPr>
            <w:tcMar>
              <w:top w:type="dxa" w:w="60"/>
              <w:left w:type="dxa" w:w="120"/>
              <w:bottom w:type="dxa" w:w="60"/>
              <w:right w:type="dxa" w:w="120"/>
            </w:tcMar>
          </w:tcPr>
          <w:p>
            <w:r>
              <w:rPr>
                <w:b w:val="false"/>
                <w:bCs w:val="false"/>
              </w:rPr>
              <w:t xml:space="preserve">Access revocation</w:t>
            </w:r>
          </w:p>
        </w:tc>
        <w:tc>
          <w:tcPr>
            <w:tcMar>
              <w:top w:type="dxa" w:w="60"/>
              <w:left w:type="dxa" w:w="120"/>
              <w:bottom w:type="dxa" w:w="60"/>
              <w:right w:type="dxa" w:w="120"/>
            </w:tcMar>
          </w:tcPr>
          <w:p>
            <w:r>
              <w:rPr>
                <w:b w:val="false"/>
                <w:bCs w:val="false"/>
              </w:rPr>
              <w:t xml:space="preserve">All access revoked by end of last day</w:t>
            </w:r>
          </w:p>
        </w:tc>
      </w:tr>
      <w:tr>
        <w:trPr>
          <w:tblHeader w:val="false"/>
        </w:trPr>
        <w:tc>
          <w:tcPr>
            <w:tcMar>
              <w:top w:type="dxa" w:w="60"/>
              <w:left w:type="dxa" w:w="120"/>
              <w:bottom w:type="dxa" w:w="60"/>
              <w:right w:type="dxa" w:w="120"/>
            </w:tcMar>
          </w:tcPr>
          <w:p>
            <w:r>
              <w:rPr>
                <w:b w:val="false"/>
                <w:bCs w:val="false"/>
              </w:rPr>
              <w:t xml:space="preserve">Final pay compliance</w:t>
            </w:r>
          </w:p>
        </w:tc>
        <w:tc>
          <w:tcPr>
            <w:tcMar>
              <w:top w:type="dxa" w:w="60"/>
              <w:left w:type="dxa" w:w="120"/>
              <w:bottom w:type="dxa" w:w="60"/>
              <w:right w:type="dxa" w:w="120"/>
            </w:tcMar>
          </w:tcPr>
          <w:p>
            <w:r>
              <w:rPr>
                <w:b w:val="false"/>
                <w:bCs w:val="false"/>
              </w:rPr>
              <w:t xml:space="preserve">100% processed within state-mandated timeline</w:t>
            </w:r>
          </w:p>
        </w:tc>
      </w:tr>
    </w:tbl>
    <w:p>
      <w:pPr>
        <w:pStyle w:val="Heading2"/>
        <w:spacing w:after="100" w:before="240"/>
      </w:pPr>
      <w:r>
        <w:t xml:space="preserve">Revision Schedule</w:t>
      </w:r>
    </w:p>
    <w:p>
      <w:pPr>
        <w:spacing w:after="100"/>
      </w:pPr>
      <w:r>
        <w:t xml:space="preserve">Annually, or after any departure that resulted in significant book loss or non-compete litigation.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Offboarding SOP Template for Insurance Teams</dc:title>
  <dc:creator>Glyde</dc:creator>
  <dc:description>Free offboarding SOP for insurance agencies. Covers book transfer, carrier notification, and client communication.</dc:description>
  <cp:lastModifiedBy>Un-named</cp:lastModifiedBy>
  <cp:revision>1</cp:revision>
  <dcterms:created xsi:type="dcterms:W3CDTF">2026-07-22T08:34:35.950Z</dcterms:created>
  <dcterms:modified xsi:type="dcterms:W3CDTF">2026-07-22T08:34:35.950Z</dcterms:modified>
</cp:coreProperties>
</file>

<file path=docProps/custom.xml><?xml version="1.0" encoding="utf-8"?>
<Properties xmlns="http://schemas.openxmlformats.org/officeDocument/2006/custom-properties" xmlns:vt="http://schemas.openxmlformats.org/officeDocument/2006/docPropsVTypes"/>
</file>