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spacing w:after="60"/>
      </w:pPr>
      <w:r>
        <w:t xml:space="preserve">SOP Template: Employee Offboarding for Legal</w:t>
      </w:r>
    </w:p>
    <w:p>
      <w:pPr>
        <w:spacing w:after="200"/>
      </w:pPr>
      <w:r>
        <w:rPr>
          <w:i/>
          <w:iCs/>
          <w:color w:val="6B7280"/>
        </w:rPr>
        <w:t xml:space="preserve">Free employee offboarding SOP for law firms. Covers access revocation, matter reassignment, and client notification procedures.</w:t>
      </w:r>
    </w:p>
    <w:p>
      <w:pPr>
        <w:pStyle w:val="Heading2"/>
        <w:spacing w:after="100" w:before="240"/>
      </w:pPr>
      <w:r>
        <w:t xml:space="preserve">Purpose</w:t>
      </w:r>
    </w:p>
    <w:p>
      <w:pPr>
        <w:spacing w:after="100"/>
      </w:pPr>
      <w:r>
        <w:t xml:space="preserve">Handle departing employees — attorneys, paralegals, and staff — so that client matters are reassigned without gaps, system access is revoked the same day, and confidential information doesn't leave the firm. Attorney departures carry additional complexity: clients must be notified, files may need to be transferred, and bar associations may require notification depending on the circumstances.</w:t>
      </w:r>
    </w:p>
    <w:p>
      <w:pPr>
        <w:pStyle w:val="Heading2"/>
        <w:spacing w:after="100" w:before="240"/>
      </w:pPr>
      <w:r>
        <w:t xml:space="preserve">Scope</w:t>
      </w:r>
    </w:p>
    <w:p>
      <w:pPr>
        <w:spacing w:after="100"/>
      </w:pPr>
      <w:r>
        <w:t xml:space="preserve">Covers voluntary resignations, involuntary terminations, and retirements for all firm employees. Separate procedures exist for partner departures, which involve additional equity and client relationship considerations.</w:t>
      </w:r>
    </w:p>
    <w:p>
      <w:pPr>
        <w:pStyle w:val="Heading2"/>
        <w:spacing w:after="100" w:before="240"/>
      </w:pPr>
      <w:r>
        <w:t xml:space="preserve">Prerequisites</w:t>
      </w:r>
    </w:p>
    <w:p>
      <w:pPr>
        <w:pStyle w:val="ListParagraph"/>
        <w:numPr>
          <w:ilvl w:val="0"/>
          <w:numId w:val="1"/>
        </w:numPr>
        <w:spacing w:after="40"/>
      </w:pPr>
      <w:r>
        <w:t xml:space="preserve">Departure date confirmed and documented in HR file</w:t>
      </w:r>
    </w:p>
    <w:p>
      <w:pPr>
        <w:pStyle w:val="ListParagraph"/>
        <w:numPr>
          <w:ilvl w:val="0"/>
          <w:numId w:val="1"/>
        </w:numPr>
        <w:spacing w:after="40"/>
      </w:pPr>
      <w:r>
        <w:t xml:space="preserve">List of all active matters assigned to the departing employee pulled from Clio</w:t>
      </w:r>
    </w:p>
    <w:p>
      <w:pPr>
        <w:pStyle w:val="ListParagraph"/>
        <w:numPr>
          <w:ilvl w:val="0"/>
          <w:numId w:val="1"/>
        </w:numPr>
        <w:spacing w:after="40"/>
      </w:pPr>
      <w:r>
        <w:t xml:space="preserve">Replacement attorney or paralegal identified for each active matter</w:t>
      </w:r>
    </w:p>
    <w:p>
      <w:pPr>
        <w:pStyle w:val="ListParagraph"/>
        <w:numPr>
          <w:ilvl w:val="0"/>
          <w:numId w:val="1"/>
        </w:numPr>
        <w:spacing w:after="40"/>
      </w:pPr>
      <w:r>
        <w:t xml:space="preserve">Exit interview template available in firm shared drive</w:t>
      </w:r>
    </w:p>
    <w:p>
      <w:pPr>
        <w:pStyle w:val="Heading2"/>
        <w:spacing w:after="100" w:before="240"/>
      </w:pPr>
      <w:r>
        <w:t xml:space="preserve">Roles &amp; Responsibilities</w:t>
      </w:r>
    </w:p>
    <w:p>
      <w:pPr>
        <w:spacing w:after="40" w:before="120"/>
      </w:pPr>
      <w:r>
        <w:rPr>
          <w:b/>
          <w:bCs/>
        </w:rPr>
        <w:t xml:space="preserve">HR Manager</w:t>
      </w:r>
    </w:p>
    <w:p>
      <w:pPr>
        <w:pStyle w:val="ListParagraph"/>
        <w:numPr>
          <w:ilvl w:val="0"/>
          <w:numId w:val="1"/>
        </w:numPr>
        <w:spacing w:after="40"/>
      </w:pPr>
      <w:r>
        <w:t xml:space="preserve">Conduct the exit interview and process final benefits paperwork</w:t>
      </w:r>
    </w:p>
    <w:p>
      <w:pPr>
        <w:pStyle w:val="ListParagraph"/>
        <w:numPr>
          <w:ilvl w:val="0"/>
          <w:numId w:val="1"/>
        </w:numPr>
        <w:spacing w:after="40"/>
      </w:pPr>
      <w:r>
        <w:t xml:space="preserve">Coordinate the departure timeline with the managing partner</w:t>
      </w:r>
    </w:p>
    <w:p>
      <w:pPr>
        <w:pStyle w:val="ListParagraph"/>
        <w:numPr>
          <w:ilvl w:val="0"/>
          <w:numId w:val="1"/>
        </w:numPr>
        <w:spacing w:after="40"/>
      </w:pPr>
      <w:r>
        <w:t xml:space="preserve">Ensure all firm property is returned and documented</w:t>
      </w:r>
    </w:p>
    <w:p>
      <w:pPr>
        <w:spacing w:after="40" w:before="120"/>
      </w:pPr>
      <w:r>
        <w:rPr>
          <w:b/>
          <w:bCs/>
        </w:rPr>
        <w:t xml:space="preserve">Managing Partner</w:t>
      </w:r>
    </w:p>
    <w:p>
      <w:pPr>
        <w:pStyle w:val="ListParagraph"/>
        <w:numPr>
          <w:ilvl w:val="0"/>
          <w:numId w:val="1"/>
        </w:numPr>
        <w:spacing w:after="40"/>
      </w:pPr>
      <w:r>
        <w:t xml:space="preserve">Decide which attorney inherits each active matter</w:t>
      </w:r>
    </w:p>
    <w:p>
      <w:pPr>
        <w:pStyle w:val="ListParagraph"/>
        <w:numPr>
          <w:ilvl w:val="0"/>
          <w:numId w:val="1"/>
        </w:numPr>
        <w:spacing w:after="40"/>
      </w:pPr>
      <w:r>
        <w:t xml:space="preserve">Approve client notification letters for attorney departures</w:t>
      </w:r>
    </w:p>
    <w:p>
      <w:pPr>
        <w:pStyle w:val="ListParagraph"/>
        <w:numPr>
          <w:ilvl w:val="0"/>
          <w:numId w:val="1"/>
        </w:numPr>
        <w:spacing w:after="40"/>
      </w:pPr>
      <w:r>
        <w:t xml:space="preserve">Handle any client retention issues if the departing attorney is taking clients</w:t>
      </w:r>
    </w:p>
    <w:p>
      <w:pPr>
        <w:spacing w:after="40" w:before="120"/>
      </w:pPr>
      <w:r>
        <w:rPr>
          <w:b/>
          <w:bCs/>
        </w:rPr>
        <w:t xml:space="preserve">IT Administrator</w:t>
      </w:r>
    </w:p>
    <w:p>
      <w:pPr>
        <w:pStyle w:val="ListParagraph"/>
        <w:numPr>
          <w:ilvl w:val="0"/>
          <w:numId w:val="1"/>
        </w:numPr>
        <w:spacing w:after="40"/>
      </w:pPr>
      <w:r>
        <w:t xml:space="preserve">Revoke access to Clio, NetDocuments, and Microsoft 365 on the departure date</w:t>
      </w:r>
    </w:p>
    <w:p>
      <w:pPr>
        <w:pStyle w:val="ListParagraph"/>
        <w:numPr>
          <w:ilvl w:val="0"/>
          <w:numId w:val="1"/>
        </w:numPr>
        <w:spacing w:after="40"/>
      </w:pPr>
      <w:r>
        <w:t xml:space="preserve">Archive the departing employee's email and voicemail</w:t>
      </w:r>
    </w:p>
    <w:p>
      <w:pPr>
        <w:pStyle w:val="ListParagraph"/>
        <w:numPr>
          <w:ilvl w:val="0"/>
          <w:numId w:val="1"/>
        </w:numPr>
        <w:spacing w:after="40"/>
      </w:pPr>
      <w:r>
        <w:t xml:space="preserve">Wipe firm data from personal devices if BYOD was in use</w:t>
      </w:r>
    </w:p>
    <w:p>
      <w:pPr>
        <w:spacing w:after="40" w:before="120"/>
      </w:pPr>
      <w:r>
        <w:rPr>
          <w:b/>
          <w:bCs/>
        </w:rPr>
        <w:t xml:space="preserve">Office Manager</w:t>
      </w:r>
    </w:p>
    <w:p>
      <w:pPr>
        <w:pStyle w:val="ListParagraph"/>
        <w:numPr>
          <w:ilvl w:val="0"/>
          <w:numId w:val="1"/>
        </w:numPr>
        <w:spacing w:after="40"/>
      </w:pPr>
      <w:r>
        <w:t xml:space="preserve">Collect keys, access badges, firm credit cards, and equipment</w:t>
      </w:r>
    </w:p>
    <w:p>
      <w:pPr>
        <w:pStyle w:val="ListParagraph"/>
        <w:numPr>
          <w:ilvl w:val="0"/>
          <w:numId w:val="1"/>
        </w:numPr>
        <w:spacing w:after="40"/>
      </w:pPr>
      <w:r>
        <w:t xml:space="preserve">Remove the departing employee from firm directory, website, and letterhead</w:t>
      </w:r>
    </w:p>
    <w:p>
      <w:pPr>
        <w:pStyle w:val="ListParagraph"/>
        <w:numPr>
          <w:ilvl w:val="0"/>
          <w:numId w:val="1"/>
        </w:numPr>
        <w:spacing w:after="40"/>
      </w:pPr>
      <w:r>
        <w:t xml:space="preserve">Redirect phone extension and email to the designated successor</w:t>
      </w:r>
    </w:p>
    <w:p>
      <w:pPr>
        <w:pStyle w:val="Heading2"/>
        <w:spacing w:after="100" w:before="240"/>
      </w:pPr>
      <w:r>
        <w:t xml:space="preserve">Procedure</w:t>
      </w:r>
    </w:p>
    <w:p>
      <w:pPr>
        <w:pStyle w:val="Heading3"/>
        <w:spacing w:after="40" w:before="160"/>
      </w:pPr>
      <w:r>
        <w:t xml:space="preserve">Step 1: Document the departure and set the timeline</w:t>
      </w:r>
    </w:p>
    <w:p>
      <w:pPr>
        <w:spacing w:after="100"/>
      </w:pPr>
      <w:r>
        <w:t xml:space="preserve">When an employee gives notice (or is terminated), HR confirms the last working day and notifies the managing partner, office manager, and IT administrator. For attorneys, check whether the departure triggers any bar notification requirements in your jurisdiction.</w:t>
      </w:r>
    </w:p>
    <w:p>
      <w:pPr>
        <w:pStyle w:val="ListParagraph"/>
        <w:numPr>
          <w:ilvl w:val="1"/>
          <w:numId w:val="1"/>
        </w:numPr>
        <w:spacing w:after="40"/>
      </w:pPr>
      <w:r>
        <w:t xml:space="preserve">Record the departure date and reason in the personnel file</w:t>
      </w:r>
    </w:p>
    <w:p>
      <w:pPr>
        <w:pStyle w:val="ListParagraph"/>
        <w:numPr>
          <w:ilvl w:val="1"/>
          <w:numId w:val="1"/>
        </w:numPr>
        <w:spacing w:after="40"/>
      </w:pPr>
      <w:r>
        <w:t xml:space="preserve">Notify managing partner, office manager, and IT within 1 business day</w:t>
      </w:r>
    </w:p>
    <w:p>
      <w:pPr>
        <w:pStyle w:val="ListParagraph"/>
        <w:numPr>
          <w:ilvl w:val="1"/>
          <w:numId w:val="1"/>
        </w:numPr>
        <w:spacing w:after="40"/>
      </w:pPr>
      <w:r>
        <w:t xml:space="preserve">Check state bar rules for attorney departure notification requirements</w:t>
      </w:r>
    </w:p>
    <w:p>
      <w:pPr>
        <w:pStyle w:val="ListParagraph"/>
        <w:numPr>
          <w:ilvl w:val="1"/>
          <w:numId w:val="1"/>
        </w:numPr>
        <w:spacing w:after="40"/>
      </w:pPr>
      <w:r>
        <w:t xml:space="preserve">Set a calendar of offboarding deadlines working backward from the last day</w:t>
      </w:r>
    </w:p>
    <w:p>
      <w:pPr>
        <w:pStyle w:val="Heading3"/>
        <w:spacing w:after="40" w:before="160"/>
      </w:pPr>
      <w:r>
        <w:t xml:space="preserve">Step 2: Reassign all active matters</w:t>
      </w:r>
    </w:p>
    <w:p>
      <w:pPr>
        <w:spacing w:after="100"/>
      </w:pPr>
      <w:r>
        <w:t xml:space="preserve">Pull the departing employee's active matter list from Clio. The managing partner assigns each matter to a replacement attorney. Update the responsible attorney field in Clio for every reassigned matter. Verify that no matter is left without an assigned attorney — this is a malpractice risk.</w:t>
      </w:r>
    </w:p>
    <w:p>
      <w:pPr>
        <w:pStyle w:val="ListParagraph"/>
        <w:numPr>
          <w:ilvl w:val="1"/>
          <w:numId w:val="1"/>
        </w:numPr>
        <w:spacing w:after="40"/>
      </w:pPr>
      <w:r>
        <w:t xml:space="preserve">Export the departing employee's matter list from Clio</w:t>
      </w:r>
    </w:p>
    <w:p>
      <w:pPr>
        <w:pStyle w:val="ListParagraph"/>
        <w:numPr>
          <w:ilvl w:val="1"/>
          <w:numId w:val="1"/>
        </w:numPr>
        <w:spacing w:after="40"/>
      </w:pPr>
      <w:r>
        <w:t xml:space="preserve">Review each matter with the managing partner and assign replacements</w:t>
      </w:r>
    </w:p>
    <w:p>
      <w:pPr>
        <w:pStyle w:val="ListParagraph"/>
        <w:numPr>
          <w:ilvl w:val="1"/>
          <w:numId w:val="1"/>
        </w:numPr>
        <w:spacing w:after="40"/>
      </w:pPr>
      <w:r>
        <w:t xml:space="preserve">Update Clio matter records with the new responsible attorney</w:t>
      </w:r>
    </w:p>
    <w:p>
      <w:pPr>
        <w:pStyle w:val="ListParagraph"/>
        <w:numPr>
          <w:ilvl w:val="1"/>
          <w:numId w:val="1"/>
        </w:numPr>
        <w:spacing w:after="40"/>
      </w:pPr>
      <w:r>
        <w:t xml:space="preserve">Verify no active matter has zero attorneys assigned</w:t>
      </w:r>
    </w:p>
    <w:p>
      <w:pPr>
        <w:spacing w:after="100"/>
      </w:pPr>
      <w:r>
        <w:rPr>
          <w:i/>
          <w:iCs/>
          <w:color w:val="B45309"/>
        </w:rPr>
        <w:t xml:space="preserve">Warning: A matter with no assigned attorney and an approaching deadline is a malpractice claim. Complete this step within 2 business days of the departure announcement.</w:t>
      </w:r>
    </w:p>
    <w:p>
      <w:pPr>
        <w:pStyle w:val="Heading3"/>
        <w:spacing w:after="40" w:before="160"/>
      </w:pPr>
      <w:r>
        <w:t xml:space="preserve">Step 3: Notify clients of the attorney departure</w:t>
      </w:r>
    </w:p>
    <w:p>
      <w:pPr>
        <w:spacing w:after="100"/>
      </w:pPr>
      <w:r>
        <w:t xml:space="preserve">For departing attorneys, send a letter to each active client informing them of the change and introducing the successor attorney. The letter should give the client the option to continue with the firm, transfer to the departing attorney (if applicable), or retain new counsel. This is an ethical requirement in most jurisdictions.</w:t>
      </w:r>
    </w:p>
    <w:p>
      <w:pPr>
        <w:pStyle w:val="ListParagraph"/>
        <w:numPr>
          <w:ilvl w:val="1"/>
          <w:numId w:val="1"/>
        </w:numPr>
        <w:spacing w:after="40"/>
      </w:pPr>
      <w:r>
        <w:t xml:space="preserve">Draft client notification letters using the firm template</w:t>
      </w:r>
    </w:p>
    <w:p>
      <w:pPr>
        <w:pStyle w:val="ListParagraph"/>
        <w:numPr>
          <w:ilvl w:val="1"/>
          <w:numId w:val="1"/>
        </w:numPr>
        <w:spacing w:after="40"/>
      </w:pPr>
      <w:r>
        <w:t xml:space="preserve">Include the successor attorney's name and direct contact information</w:t>
      </w:r>
    </w:p>
    <w:p>
      <w:pPr>
        <w:pStyle w:val="ListParagraph"/>
        <w:numPr>
          <w:ilvl w:val="1"/>
          <w:numId w:val="1"/>
        </w:numPr>
        <w:spacing w:after="40"/>
      </w:pPr>
      <w:r>
        <w:t xml:space="preserve">State the client's right to choose their attorney</w:t>
      </w:r>
    </w:p>
    <w:p>
      <w:pPr>
        <w:pStyle w:val="ListParagraph"/>
        <w:numPr>
          <w:ilvl w:val="1"/>
          <w:numId w:val="1"/>
        </w:numPr>
        <w:spacing w:after="40"/>
      </w:pPr>
      <w:r>
        <w:t xml:space="preserve">Send letters within 5 business days of the departure announcement</w:t>
      </w:r>
    </w:p>
    <w:p>
      <w:pPr>
        <w:spacing w:after="100"/>
      </w:pPr>
      <w:r>
        <w:rPr>
          <w:i/>
          <w:iCs/>
          <w:color w:val="B45309"/>
        </w:rPr>
        <w:t xml:space="preserve">Warning: In most jurisdictions, clients must be notified of their attorney's departure and given the choice of counsel. Failing to send this notification is an ethical violation.</w:t>
      </w:r>
    </w:p>
    <w:p>
      <w:pPr>
        <w:pStyle w:val="Heading3"/>
        <w:spacing w:after="40" w:before="160"/>
      </w:pPr>
      <w:r>
        <w:t xml:space="preserve">Step 4: Conduct the knowledge transfer</w:t>
      </w:r>
    </w:p>
    <w:p>
      <w:pPr>
        <w:spacing w:after="100"/>
      </w:pPr>
      <w:r>
        <w:t xml:space="preserve">The departing employee meets with the successor for each significant matter and provides a verbal and written briefing: current status, key deadlines, client preferences, opposing counsel behavior, and where critical documents are stored in NetDocuments. Schedule these meetings at least 1 week before the departure date.</w:t>
      </w:r>
    </w:p>
    <w:p>
      <w:pPr>
        <w:pStyle w:val="ListParagraph"/>
        <w:numPr>
          <w:ilvl w:val="1"/>
          <w:numId w:val="1"/>
        </w:numPr>
        <w:spacing w:after="40"/>
      </w:pPr>
      <w:r>
        <w:t xml:space="preserve">Schedule 30-minute handoff meetings for each significant matter</w:t>
      </w:r>
    </w:p>
    <w:p>
      <w:pPr>
        <w:pStyle w:val="ListParagraph"/>
        <w:numPr>
          <w:ilvl w:val="1"/>
          <w:numId w:val="1"/>
        </w:numPr>
        <w:spacing w:after="40"/>
      </w:pPr>
      <w:r>
        <w:t xml:space="preserve">Departing employee prepares a one-page matter status summary for each</w:t>
      </w:r>
    </w:p>
    <w:p>
      <w:pPr>
        <w:pStyle w:val="ListParagraph"/>
        <w:numPr>
          <w:ilvl w:val="1"/>
          <w:numId w:val="1"/>
        </w:numPr>
        <w:spacing w:after="40"/>
      </w:pPr>
      <w:r>
        <w:t xml:space="preserve">Walk through critical deadlines and calendar entries in Clio</w:t>
      </w:r>
    </w:p>
    <w:p>
      <w:pPr>
        <w:pStyle w:val="ListParagraph"/>
        <w:numPr>
          <w:ilvl w:val="1"/>
          <w:numId w:val="1"/>
        </w:numPr>
        <w:spacing w:after="40"/>
      </w:pPr>
      <w:r>
        <w:t xml:space="preserve">Review any pending client commitments or outstanding deliverables</w:t>
      </w:r>
    </w:p>
    <w:p>
      <w:pPr>
        <w:pStyle w:val="Heading3"/>
        <w:spacing w:after="40" w:before="160"/>
      </w:pPr>
      <w:r>
        <w:t xml:space="preserve">Step 5: Revoke system access on departure date</w:t>
      </w:r>
    </w:p>
    <w:p>
      <w:pPr>
        <w:spacing w:after="100"/>
      </w:pPr>
      <w:r>
        <w:t xml:space="preserve">On the employee's last day (or immediately upon termination), IT revokes access to all firm systems: Clio, NetDocuments, Microsoft 365, VPN, building access, and any other tools. Archive their email and voicemail — do not delete, as these may contain client communications subject to retention rules.</w:t>
      </w:r>
    </w:p>
    <w:p>
      <w:pPr>
        <w:pStyle w:val="ListParagraph"/>
        <w:numPr>
          <w:ilvl w:val="1"/>
          <w:numId w:val="1"/>
        </w:numPr>
        <w:spacing w:after="40"/>
      </w:pPr>
      <w:r>
        <w:t xml:space="preserve">Disable Clio account (do not delete — historical records must be preserved)</w:t>
      </w:r>
    </w:p>
    <w:p>
      <w:pPr>
        <w:pStyle w:val="ListParagraph"/>
        <w:numPr>
          <w:ilvl w:val="1"/>
          <w:numId w:val="1"/>
        </w:numPr>
        <w:spacing w:after="40"/>
      </w:pPr>
      <w:r>
        <w:t xml:space="preserve">Remove NetDocuments access and transfer any personal workspace files</w:t>
      </w:r>
    </w:p>
    <w:p>
      <w:pPr>
        <w:pStyle w:val="ListParagraph"/>
        <w:numPr>
          <w:ilvl w:val="1"/>
          <w:numId w:val="1"/>
        </w:numPr>
        <w:spacing w:after="40"/>
      </w:pPr>
      <w:r>
        <w:t xml:space="preserve">Disable Microsoft 365 account and set email forwarding to successor</w:t>
      </w:r>
    </w:p>
    <w:p>
      <w:pPr>
        <w:pStyle w:val="ListParagraph"/>
        <w:numPr>
          <w:ilvl w:val="1"/>
          <w:numId w:val="1"/>
        </w:numPr>
        <w:spacing w:after="40"/>
      </w:pPr>
      <w:r>
        <w:t xml:space="preserve">Revoke VPN access and deactivate building access badge</w:t>
      </w:r>
    </w:p>
    <w:p>
      <w:pPr>
        <w:pStyle w:val="ListParagraph"/>
        <w:numPr>
          <w:ilvl w:val="1"/>
          <w:numId w:val="1"/>
        </w:numPr>
        <w:spacing w:after="40"/>
      </w:pPr>
      <w:r>
        <w:t xml:space="preserve">Wipe firm data from personal devices if BYOD was in use</w:t>
      </w:r>
    </w:p>
    <w:p>
      <w:pPr>
        <w:spacing w:after="100"/>
      </w:pPr>
      <w:r>
        <w:rPr>
          <w:i/>
          <w:iCs/>
          <w:color w:val="B45309"/>
        </w:rPr>
        <w:t xml:space="preserve">Warning: For involuntary terminations, revoke access before the termination conversation or simultaneously. A terminated employee with active system access is a data security risk.</w:t>
      </w:r>
    </w:p>
    <w:p>
      <w:pPr>
        <w:pStyle w:val="Heading3"/>
        <w:spacing w:after="40" w:before="160"/>
      </w:pPr>
      <w:r>
        <w:t xml:space="preserve">Step 6: Collect firm property and settle accounts</w:t>
      </w:r>
    </w:p>
    <w:p>
      <w:pPr>
        <w:spacing w:after="100"/>
      </w:pPr>
      <w:r>
        <w:t xml:space="preserve">The office manager collects all firm property: laptop, keys, access badge, firm credit card, client files (physical), and any firm-owned equipment. Verify the firm credit card has no outstanding charges. Settle any outstanding expense reimbursements.</w:t>
      </w:r>
    </w:p>
    <w:p>
      <w:pPr>
        <w:pStyle w:val="ListParagraph"/>
        <w:numPr>
          <w:ilvl w:val="1"/>
          <w:numId w:val="1"/>
        </w:numPr>
        <w:spacing w:after="40"/>
      </w:pPr>
      <w:r>
        <w:t xml:space="preserve">Collect laptop, keys, badge, and firm credit card</w:t>
      </w:r>
    </w:p>
    <w:p>
      <w:pPr>
        <w:pStyle w:val="ListParagraph"/>
        <w:numPr>
          <w:ilvl w:val="1"/>
          <w:numId w:val="1"/>
        </w:numPr>
        <w:spacing w:after="40"/>
      </w:pPr>
      <w:r>
        <w:t xml:space="preserve">Verify no outstanding credit card charges</w:t>
      </w:r>
    </w:p>
    <w:p>
      <w:pPr>
        <w:pStyle w:val="ListParagraph"/>
        <w:numPr>
          <w:ilvl w:val="1"/>
          <w:numId w:val="1"/>
        </w:numPr>
        <w:spacing w:after="40"/>
      </w:pPr>
      <w:r>
        <w:t xml:space="preserve">Collect any physical client files — these cannot leave the firm</w:t>
      </w:r>
    </w:p>
    <w:p>
      <w:pPr>
        <w:pStyle w:val="ListParagraph"/>
        <w:numPr>
          <w:ilvl w:val="1"/>
          <w:numId w:val="1"/>
        </w:numPr>
        <w:spacing w:after="40"/>
      </w:pPr>
      <w:r>
        <w:t xml:space="preserve">Process final expense reimbursements</w:t>
      </w:r>
    </w:p>
    <w:p>
      <w:pPr>
        <w:pStyle w:val="Heading3"/>
        <w:spacing w:after="40" w:before="160"/>
      </w:pPr>
      <w:r>
        <w:t xml:space="preserve">Step 7: Update firm records and conduct exit interview</w:t>
      </w:r>
    </w:p>
    <w:p>
      <w:pPr>
        <w:spacing w:after="100"/>
      </w:pPr>
      <w:r>
        <w:t xml:space="preserve">Remove the departing employee from the firm website, letterhead, email directory, and phone system. Redirect their phone extension and email to the designated successor for at least 90 days. HR conducts the exit interview to gather feedback and completes final benefits paperwork (COBRA notification, 401k rollover information).</w:t>
      </w:r>
    </w:p>
    <w:p>
      <w:pPr>
        <w:pStyle w:val="ListParagraph"/>
        <w:numPr>
          <w:ilvl w:val="1"/>
          <w:numId w:val="1"/>
        </w:numPr>
        <w:spacing w:after="40"/>
      </w:pPr>
      <w:r>
        <w:t xml:space="preserve">Remove from firm website attorney directory</w:t>
      </w:r>
    </w:p>
    <w:p>
      <w:pPr>
        <w:pStyle w:val="ListParagraph"/>
        <w:numPr>
          <w:ilvl w:val="1"/>
          <w:numId w:val="1"/>
        </w:numPr>
        <w:spacing w:after="40"/>
      </w:pPr>
      <w:r>
        <w:t xml:space="preserve">Remove from letterhead and signature blocks</w:t>
      </w:r>
    </w:p>
    <w:p>
      <w:pPr>
        <w:pStyle w:val="ListParagraph"/>
        <w:numPr>
          <w:ilvl w:val="1"/>
          <w:numId w:val="1"/>
        </w:numPr>
        <w:spacing w:after="40"/>
      </w:pPr>
      <w:r>
        <w:t xml:space="preserve">Set email auto-reply and forwarding for 90 days</w:t>
      </w:r>
    </w:p>
    <w:p>
      <w:pPr>
        <w:pStyle w:val="ListParagraph"/>
        <w:numPr>
          <w:ilvl w:val="1"/>
          <w:numId w:val="1"/>
        </w:numPr>
        <w:spacing w:after="40"/>
      </w:pPr>
      <w:r>
        <w:t xml:space="preserve">Redirect phone extension to successor</w:t>
      </w:r>
    </w:p>
    <w:p>
      <w:pPr>
        <w:pStyle w:val="ListParagraph"/>
        <w:numPr>
          <w:ilvl w:val="1"/>
          <w:numId w:val="1"/>
        </w:numPr>
        <w:spacing w:after="40"/>
      </w:pPr>
      <w:r>
        <w:t xml:space="preserve">Conduct exit interview</w:t>
      </w:r>
    </w:p>
    <w:p>
      <w:pPr>
        <w:pStyle w:val="ListParagraph"/>
        <w:numPr>
          <w:ilvl w:val="1"/>
          <w:numId w:val="1"/>
        </w:numPr>
        <w:spacing w:after="40"/>
      </w:pPr>
      <w:r>
        <w:t xml:space="preserve">Process COBRA notification and final benefits paperwork</w:t>
      </w:r>
    </w:p>
    <w:p>
      <w:pPr>
        <w:pStyle w:val="Heading2"/>
        <w:spacing w:after="100" w:before="240"/>
      </w:pPr>
      <w:r>
        <w:t xml:space="preserve">Completion Checklist</w:t>
      </w:r>
    </w:p>
    <w:p>
      <w:pPr>
        <w:spacing w:after="40"/>
      </w:pPr>
      <w:r>
        <w:t xml:space="preserve">☐  Departure date and reason documented in personnel file</w:t>
      </w:r>
    </w:p>
    <w:p>
      <w:pPr>
        <w:spacing w:after="40"/>
      </w:pPr>
      <w:r>
        <w:t xml:space="preserve">☐  All active matters reassigned in Clio with verified successors</w:t>
      </w:r>
    </w:p>
    <w:p>
      <w:pPr>
        <w:spacing w:after="40"/>
      </w:pPr>
      <w:r>
        <w:t xml:space="preserve">☐  Client notification letters sent within 5 business days (attorney departures)</w:t>
      </w:r>
    </w:p>
    <w:p>
      <w:pPr>
        <w:spacing w:after="40"/>
      </w:pPr>
      <w:r>
        <w:t xml:space="preserve">☐  Knowledge transfer meetings completed for all significant matters</w:t>
      </w:r>
    </w:p>
    <w:p>
      <w:pPr>
        <w:spacing w:after="40"/>
      </w:pPr>
      <w:r>
        <w:t xml:space="preserve">☐  Clio access disabled on departure date (account preserved, not deleted)</w:t>
      </w:r>
    </w:p>
    <w:p>
      <w:pPr>
        <w:spacing w:after="40"/>
      </w:pPr>
      <w:r>
        <w:t xml:space="preserve">☐  NetDocuments access revoked</w:t>
      </w:r>
    </w:p>
    <w:p>
      <w:pPr>
        <w:spacing w:after="40"/>
      </w:pPr>
      <w:r>
        <w:t xml:space="preserve">☐  Microsoft 365 account disabled with email forwarding set</w:t>
      </w:r>
    </w:p>
    <w:p>
      <w:pPr>
        <w:spacing w:after="40"/>
      </w:pPr>
      <w:r>
        <w:t xml:space="preserve">☐  VPN and building access revoked</w:t>
      </w:r>
    </w:p>
    <w:p>
      <w:pPr>
        <w:spacing w:after="40"/>
      </w:pPr>
      <w:r>
        <w:t xml:space="preserve">☐  Personal devices wiped of firm data</w:t>
      </w:r>
    </w:p>
    <w:p>
      <w:pPr>
        <w:spacing w:after="40"/>
      </w:pPr>
      <w:r>
        <w:t xml:space="preserve">☐  All firm property collected (laptop, keys, badge, credit card)</w:t>
      </w:r>
    </w:p>
    <w:p>
      <w:pPr>
        <w:spacing w:after="40"/>
      </w:pPr>
      <w:r>
        <w:t xml:space="preserve">☐  Physical client files retained by the firm</w:t>
      </w:r>
    </w:p>
    <w:p>
      <w:pPr>
        <w:spacing w:after="40"/>
      </w:pPr>
      <w:r>
        <w:t xml:space="preserve">☐  Firm website, letterhead, and directory updated</w:t>
      </w:r>
    </w:p>
    <w:p>
      <w:pPr>
        <w:spacing w:after="40"/>
      </w:pPr>
      <w:r>
        <w:t xml:space="preserve">☐  Phone extension redirected for 90 days</w:t>
      </w:r>
    </w:p>
    <w:p>
      <w:pPr>
        <w:spacing w:after="40"/>
      </w:pPr>
      <w:r>
        <w:t xml:space="preserve">☐  Exit interview completed</w:t>
      </w:r>
    </w:p>
    <w:p>
      <w:pPr>
        <w:spacing w:after="40"/>
      </w:pPr>
      <w:r>
        <w:t xml:space="preserve">☐  Final benefits paperwork processed (COBRA, 401k)</w:t>
      </w:r>
    </w:p>
    <w:p>
      <w:pPr>
        <w:pStyle w:val="Heading2"/>
        <w:spacing w:after="100" w:before="240"/>
      </w:pPr>
      <w:r>
        <w:t xml:space="preserve">Key Performance Indicators</w:t>
      </w:r>
    </w:p>
    <w:tbl>
      <w:tblPr>
        <w:tblW w:type="pct" w:w="100%"/>
        <w:tblBorders>
          <w:top w:val="single" w:color="E5E7EB" w:sz="1"/>
          <w:left w:val="single" w:color="E5E7EB" w:sz="1"/>
          <w:bottom w:val="single" w:color="E5E7EB" w:sz="1"/>
          <w:right w:val="single" w:color="E5E7EB" w:sz="1"/>
          <w:insideH w:val="single" w:color="E5E7EB" w:sz="1"/>
          <w:insideV w:val="single" w:color="E5E7EB" w:sz="1"/>
        </w:tblBorders>
      </w:tblPr>
      <w:tblGrid>
        <w:gridCol w:w="100"/>
        <w:gridCol w:w="100"/>
      </w:tblGrid>
      <w:tr>
        <w:trPr>
          <w:tblHeader/>
        </w:trPr>
        <w:tc>
          <w:tcPr>
            <w:shd w:fill="F3F4F6"/>
            <w:tcMar>
              <w:top w:type="dxa" w:w="60"/>
              <w:left w:type="dxa" w:w="120"/>
              <w:bottom w:type="dxa" w:w="60"/>
              <w:right w:type="dxa" w:w="120"/>
            </w:tcMar>
          </w:tcPr>
          <w:p>
            <w:r>
              <w:rPr>
                <w:b/>
                <w:bCs/>
              </w:rPr>
              <w:t xml:space="preserve">Metric</w:t>
            </w:r>
          </w:p>
        </w:tc>
        <w:tc>
          <w:tcPr>
            <w:shd w:fill="F3F4F6"/>
            <w:tcMar>
              <w:top w:type="dxa" w:w="60"/>
              <w:left w:type="dxa" w:w="120"/>
              <w:bottom w:type="dxa" w:w="60"/>
              <w:right w:type="dxa" w:w="120"/>
            </w:tcMar>
          </w:tcPr>
          <w:p>
            <w:r>
              <w:rPr>
                <w:b/>
                <w:bCs/>
              </w:rPr>
              <w:t xml:space="preserve">Target</w:t>
            </w:r>
          </w:p>
        </w:tc>
      </w:tr>
      <w:tr>
        <w:trPr>
          <w:tblHeader w:val="false"/>
        </w:trPr>
        <w:tc>
          <w:tcPr>
            <w:tcMar>
              <w:top w:type="dxa" w:w="60"/>
              <w:left w:type="dxa" w:w="120"/>
              <w:bottom w:type="dxa" w:w="60"/>
              <w:right w:type="dxa" w:w="120"/>
            </w:tcMar>
          </w:tcPr>
          <w:p>
            <w:r>
              <w:rPr>
                <w:b w:val="false"/>
                <w:bCs w:val="false"/>
              </w:rPr>
              <w:t xml:space="preserve">Matter reassignment completion</w:t>
            </w:r>
          </w:p>
        </w:tc>
        <w:tc>
          <w:tcPr>
            <w:tcMar>
              <w:top w:type="dxa" w:w="60"/>
              <w:left w:type="dxa" w:w="120"/>
              <w:bottom w:type="dxa" w:w="60"/>
              <w:right w:type="dxa" w:w="120"/>
            </w:tcMar>
          </w:tcPr>
          <w:p>
            <w:r>
              <w:rPr>
                <w:b w:val="false"/>
                <w:bCs w:val="false"/>
              </w:rPr>
              <w:t xml:space="preserve">100% of matters reassigned within 2 business days</w:t>
            </w:r>
          </w:p>
        </w:tc>
      </w:tr>
      <w:tr>
        <w:trPr>
          <w:tblHeader w:val="false"/>
        </w:trPr>
        <w:tc>
          <w:tcPr>
            <w:tcMar>
              <w:top w:type="dxa" w:w="60"/>
              <w:left w:type="dxa" w:w="120"/>
              <w:bottom w:type="dxa" w:w="60"/>
              <w:right w:type="dxa" w:w="120"/>
            </w:tcMar>
          </w:tcPr>
          <w:p>
            <w:r>
              <w:rPr>
                <w:b w:val="false"/>
                <w:bCs w:val="false"/>
              </w:rPr>
              <w:t xml:space="preserve">System access revocation</w:t>
            </w:r>
          </w:p>
        </w:tc>
        <w:tc>
          <w:tcPr>
            <w:tcMar>
              <w:top w:type="dxa" w:w="60"/>
              <w:left w:type="dxa" w:w="120"/>
              <w:bottom w:type="dxa" w:w="60"/>
              <w:right w:type="dxa" w:w="120"/>
            </w:tcMar>
          </w:tcPr>
          <w:p>
            <w:r>
              <w:rPr>
                <w:b w:val="false"/>
                <w:bCs w:val="false"/>
              </w:rPr>
              <w:t xml:space="preserve">Same day as departure (within 2 hours for terminations)</w:t>
            </w:r>
          </w:p>
        </w:tc>
      </w:tr>
      <w:tr>
        <w:trPr>
          <w:tblHeader w:val="false"/>
        </w:trPr>
        <w:tc>
          <w:tcPr>
            <w:tcMar>
              <w:top w:type="dxa" w:w="60"/>
              <w:left w:type="dxa" w:w="120"/>
              <w:bottom w:type="dxa" w:w="60"/>
              <w:right w:type="dxa" w:w="120"/>
            </w:tcMar>
          </w:tcPr>
          <w:p>
            <w:r>
              <w:rPr>
                <w:b w:val="false"/>
                <w:bCs w:val="false"/>
              </w:rPr>
              <w:t xml:space="preserve">Client notification for attorney departures</w:t>
            </w:r>
          </w:p>
        </w:tc>
        <w:tc>
          <w:tcPr>
            <w:tcMar>
              <w:top w:type="dxa" w:w="60"/>
              <w:left w:type="dxa" w:w="120"/>
              <w:bottom w:type="dxa" w:w="60"/>
              <w:right w:type="dxa" w:w="120"/>
            </w:tcMar>
          </w:tcPr>
          <w:p>
            <w:r>
              <w:rPr>
                <w:b w:val="false"/>
                <w:bCs w:val="false"/>
              </w:rPr>
              <w:t xml:space="preserve">All letters sent within 5 business days</w:t>
            </w:r>
          </w:p>
        </w:tc>
      </w:tr>
      <w:tr>
        <w:trPr>
          <w:tblHeader w:val="false"/>
        </w:trPr>
        <w:tc>
          <w:tcPr>
            <w:tcMar>
              <w:top w:type="dxa" w:w="60"/>
              <w:left w:type="dxa" w:w="120"/>
              <w:bottom w:type="dxa" w:w="60"/>
              <w:right w:type="dxa" w:w="120"/>
            </w:tcMar>
          </w:tcPr>
          <w:p>
            <w:r>
              <w:rPr>
                <w:b w:val="false"/>
                <w:bCs w:val="false"/>
              </w:rPr>
              <w:t xml:space="preserve">Knowledge transfer sessions completed</w:t>
            </w:r>
          </w:p>
        </w:tc>
        <w:tc>
          <w:tcPr>
            <w:tcMar>
              <w:top w:type="dxa" w:w="60"/>
              <w:left w:type="dxa" w:w="120"/>
              <w:bottom w:type="dxa" w:w="60"/>
              <w:right w:type="dxa" w:w="120"/>
            </w:tcMar>
          </w:tcPr>
          <w:p>
            <w:r>
              <w:rPr>
                <w:b w:val="false"/>
                <w:bCs w:val="false"/>
              </w:rPr>
              <w:t xml:space="preserve">100% of significant matters briefed before departure</w:t>
            </w:r>
          </w:p>
        </w:tc>
      </w:tr>
    </w:tbl>
    <w:p>
      <w:pPr>
        <w:pStyle w:val="Heading2"/>
        <w:spacing w:after="100" w:before="240"/>
      </w:pPr>
      <w:r>
        <w:t xml:space="preserve">Revision Schedule</w:t>
      </w:r>
    </w:p>
    <w:p>
      <w:pPr>
        <w:spacing w:after="100"/>
      </w:pPr>
      <w:r>
        <w:t xml:space="preserve">Annually, or after any departure that resulted in a missed deadline, client complaint, or data security incident.</w:t>
      </w:r>
    </w:p>
    <w:p>
      <w:pPr>
        <w:spacing w:before="400"/>
        <w:jc w:val="center"/>
      </w:pPr>
      <w:r>
        <w:rPr>
          <w:color w:val="6B7280"/>
          <w:sz w:val="18"/>
          <w:szCs w:val="18"/>
        </w:rPr>
        <w:t xml:space="preserve">Free SOP template by Glyde · glydehq.com · Record it once, keep it current.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SOP Template: Employee Offboarding for Legal</dc:title>
  <dc:creator>Glyde</dc:creator>
  <dc:description>Free employee offboarding SOP for law firms. Covers access revocation, matter reassignment, and client notification procedures.</dc:description>
  <cp:lastModifiedBy>Un-named</cp:lastModifiedBy>
  <cp:revision>1</cp:revision>
  <dcterms:created xsi:type="dcterms:W3CDTF">2026-07-22T08:34:35.957Z</dcterms:created>
  <dcterms:modified xsi:type="dcterms:W3CDTF">2026-07-22T08:34:35.957Z</dcterms:modified>
</cp:coreProperties>
</file>

<file path=docProps/custom.xml><?xml version="1.0" encoding="utf-8"?>
<Properties xmlns="http://schemas.openxmlformats.org/officeDocument/2006/custom-properties" xmlns:vt="http://schemas.openxmlformats.org/officeDocument/2006/docPropsVTypes"/>
</file>