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Real Estate Employee Offboarding Standard Operating Procedure Template</w:t>
      </w:r>
    </w:p>
    <w:p>
      <w:pPr>
        <w:spacing w:after="200"/>
      </w:pPr>
      <w:r>
        <w:rPr>
          <w:i/>
          <w:iCs/>
          <w:color w:val="6B7280"/>
        </w:rPr>
        <w:t xml:space="preserve">Free employee offboarding SOP for real estate brokerages. Covers license transfer, client reassignment, and system access revocation.</w:t>
      </w:r>
    </w:p>
    <w:p>
      <w:pPr>
        <w:pStyle w:val="Heading2"/>
        <w:spacing w:after="100" w:before="240"/>
      </w:pPr>
      <w:r>
        <w:t xml:space="preserve">Purpose</w:t>
      </w:r>
    </w:p>
    <w:p>
      <w:pPr>
        <w:spacing w:after="100"/>
      </w:pPr>
      <w:r>
        <w:t xml:space="preserve">Handle departing agents and staff so that active transactions are reassigned, client relationships are protected, system access is revoked, and the agent's license is properly released from the brokerage. An agent departure with open transactions creates immediate risk for clients and the brokerage.</w:t>
      </w:r>
    </w:p>
    <w:p>
      <w:pPr>
        <w:pStyle w:val="Heading2"/>
        <w:spacing w:after="100" w:before="240"/>
      </w:pPr>
      <w:r>
        <w:t xml:space="preserve">Scope</w:t>
      </w:r>
    </w:p>
    <w:p>
      <w:pPr>
        <w:spacing w:after="100"/>
      </w:pPr>
      <w:r>
        <w:t xml:space="preserve">Covers voluntary departures, terminations, and retirements for agents and administrative staff. Does not cover team splits within the brokerage or inter-office transfers.</w:t>
      </w:r>
    </w:p>
    <w:p>
      <w:pPr>
        <w:pStyle w:val="Heading2"/>
        <w:spacing w:after="100" w:before="240"/>
      </w:pPr>
      <w:r>
        <w:t xml:space="preserve">Prerequisites</w:t>
      </w:r>
    </w:p>
    <w:p>
      <w:pPr>
        <w:pStyle w:val="ListParagraph"/>
        <w:numPr>
          <w:ilvl w:val="0"/>
          <w:numId w:val="1"/>
        </w:numPr>
        <w:spacing w:after="40"/>
      </w:pPr>
      <w:r>
        <w:t xml:space="preserve">Departure date confirmed</w:t>
      </w:r>
    </w:p>
    <w:p>
      <w:pPr>
        <w:pStyle w:val="ListParagraph"/>
        <w:numPr>
          <w:ilvl w:val="0"/>
          <w:numId w:val="1"/>
        </w:numPr>
        <w:spacing w:after="40"/>
      </w:pPr>
      <w:r>
        <w:t xml:space="preserve">List of all active transactions and pending listings pulled from Dotloop</w:t>
      </w:r>
    </w:p>
    <w:p>
      <w:pPr>
        <w:pStyle w:val="ListParagraph"/>
        <w:numPr>
          <w:ilvl w:val="0"/>
          <w:numId w:val="1"/>
        </w:numPr>
        <w:spacing w:after="40"/>
      </w:pPr>
      <w:r>
        <w:t xml:space="preserve">Replacement agent identified for active transactions</w:t>
      </w:r>
    </w:p>
    <w:p>
      <w:pPr>
        <w:pStyle w:val="ListParagraph"/>
        <w:numPr>
          <w:ilvl w:val="0"/>
          <w:numId w:val="1"/>
        </w:numPr>
        <w:spacing w:after="40"/>
      </w:pPr>
      <w:r>
        <w:t xml:space="preserve">IC agreement reviewed for any non-compete or non-solicitation provisions</w:t>
      </w:r>
    </w:p>
    <w:p>
      <w:pPr>
        <w:pStyle w:val="Heading2"/>
        <w:spacing w:after="100" w:before="240"/>
      </w:pPr>
      <w:r>
        <w:t xml:space="preserve">Roles &amp; Responsibilities</w:t>
      </w:r>
    </w:p>
    <w:p>
      <w:pPr>
        <w:spacing w:after="40" w:before="120"/>
      </w:pPr>
      <w:r>
        <w:rPr>
          <w:b/>
          <w:bCs/>
        </w:rPr>
        <w:t xml:space="preserve">Managing Broker</w:t>
      </w:r>
    </w:p>
    <w:p>
      <w:pPr>
        <w:pStyle w:val="ListParagraph"/>
        <w:numPr>
          <w:ilvl w:val="0"/>
          <w:numId w:val="1"/>
        </w:numPr>
        <w:spacing w:after="40"/>
      </w:pPr>
      <w:r>
        <w:t xml:space="preserve">Reassign all active transactions and listings to replacement agents</w:t>
      </w:r>
    </w:p>
    <w:p>
      <w:pPr>
        <w:pStyle w:val="ListParagraph"/>
        <w:numPr>
          <w:ilvl w:val="0"/>
          <w:numId w:val="1"/>
        </w:numPr>
        <w:spacing w:after="40"/>
      </w:pPr>
      <w:r>
        <w:t xml:space="preserve">Notify clients of the agent change and introduce the replacement</w:t>
      </w:r>
    </w:p>
    <w:p>
      <w:pPr>
        <w:pStyle w:val="ListParagraph"/>
        <w:numPr>
          <w:ilvl w:val="0"/>
          <w:numId w:val="1"/>
        </w:numPr>
        <w:spacing w:after="40"/>
      </w:pPr>
      <w:r>
        <w:t xml:space="preserve">Release the departing agent's license with the state commission</w:t>
      </w:r>
    </w:p>
    <w:p>
      <w:pPr>
        <w:spacing w:after="40" w:before="120"/>
      </w:pPr>
      <w:r>
        <w:rPr>
          <w:b/>
          <w:bCs/>
        </w:rPr>
        <w:t xml:space="preserve">Office Manager</w:t>
      </w:r>
    </w:p>
    <w:p>
      <w:pPr>
        <w:pStyle w:val="ListParagraph"/>
        <w:numPr>
          <w:ilvl w:val="0"/>
          <w:numId w:val="1"/>
        </w:numPr>
        <w:spacing w:after="40"/>
      </w:pPr>
      <w:r>
        <w:t xml:space="preserve">Revoke MLS, Dotloop, and brokerage email access on the departure date</w:t>
      </w:r>
    </w:p>
    <w:p>
      <w:pPr>
        <w:pStyle w:val="ListParagraph"/>
        <w:numPr>
          <w:ilvl w:val="0"/>
          <w:numId w:val="1"/>
        </w:numPr>
        <w:spacing w:after="40"/>
      </w:pPr>
      <w:r>
        <w:t xml:space="preserve">Collect lockbox keys, yard signs, and brokerage materials</w:t>
      </w:r>
    </w:p>
    <w:p>
      <w:pPr>
        <w:pStyle w:val="ListParagraph"/>
        <w:numPr>
          <w:ilvl w:val="0"/>
          <w:numId w:val="1"/>
        </w:numPr>
        <w:spacing w:after="40"/>
      </w:pPr>
      <w:r>
        <w:t xml:space="preserve">Remove the agent from the brokerage website and directory</w:t>
      </w:r>
    </w:p>
    <w:p>
      <w:pPr>
        <w:spacing w:after="40" w:before="120"/>
      </w:pPr>
      <w:r>
        <w:rPr>
          <w:b/>
          <w:bCs/>
        </w:rPr>
        <w:t xml:space="preserve">Transaction Coordinator</w:t>
      </w:r>
    </w:p>
    <w:p>
      <w:pPr>
        <w:pStyle w:val="ListParagraph"/>
        <w:numPr>
          <w:ilvl w:val="0"/>
          <w:numId w:val="1"/>
        </w:numPr>
        <w:spacing w:after="40"/>
      </w:pPr>
      <w:r>
        <w:t xml:space="preserve">Verify all active transaction files in Dotloop are complete and current</w:t>
      </w:r>
    </w:p>
    <w:p>
      <w:pPr>
        <w:pStyle w:val="ListParagraph"/>
        <w:numPr>
          <w:ilvl w:val="0"/>
          <w:numId w:val="1"/>
        </w:numPr>
        <w:spacing w:after="40"/>
      </w:pPr>
      <w:r>
        <w:t xml:space="preserve">Brief the replacement agent on pending deadlines and contingencies</w:t>
      </w:r>
    </w:p>
    <w:p>
      <w:pPr>
        <w:pStyle w:val="ListParagraph"/>
        <w:numPr>
          <w:ilvl w:val="0"/>
          <w:numId w:val="1"/>
        </w:numPr>
        <w:spacing w:after="40"/>
      </w:pPr>
      <w:r>
        <w:t xml:space="preserve">Update all transaction parties (title, lender, cooperating agent) on the agent change</w:t>
      </w:r>
    </w:p>
    <w:p>
      <w:pPr>
        <w:pStyle w:val="Heading2"/>
        <w:spacing w:after="100" w:before="240"/>
      </w:pPr>
      <w:r>
        <w:t xml:space="preserve">Procedure</w:t>
      </w:r>
    </w:p>
    <w:p>
      <w:pPr>
        <w:pStyle w:val="Heading3"/>
        <w:spacing w:after="40" w:before="160"/>
      </w:pPr>
      <w:r>
        <w:t xml:space="preserve">Step 1: Document the departure and review the IC agreement</w:t>
      </w:r>
    </w:p>
    <w:p>
      <w:pPr>
        <w:spacing w:after="100"/>
      </w:pPr>
      <w:r>
        <w:t xml:space="preserve">Confirm the agent's last day and reason for departure. Review the independent contractor agreement for non-compete, non-solicitation, and commission provisions. Determine which pending commissions the departing agent is entitled to based on the agreement terms.</w:t>
      </w:r>
    </w:p>
    <w:p>
      <w:pPr>
        <w:pStyle w:val="ListParagraph"/>
        <w:numPr>
          <w:ilvl w:val="1"/>
          <w:numId w:val="1"/>
        </w:numPr>
        <w:spacing w:after="40"/>
      </w:pPr>
      <w:r>
        <w:t xml:space="preserve">Record departure date and reason</w:t>
      </w:r>
    </w:p>
    <w:p>
      <w:pPr>
        <w:pStyle w:val="ListParagraph"/>
        <w:numPr>
          <w:ilvl w:val="1"/>
          <w:numId w:val="1"/>
        </w:numPr>
        <w:spacing w:after="40"/>
      </w:pPr>
      <w:r>
        <w:t xml:space="preserve">Review IC agreement for post-departure provisions</w:t>
      </w:r>
    </w:p>
    <w:p>
      <w:pPr>
        <w:pStyle w:val="ListParagraph"/>
        <w:numPr>
          <w:ilvl w:val="1"/>
          <w:numId w:val="1"/>
        </w:numPr>
        <w:spacing w:after="40"/>
      </w:pPr>
      <w:r>
        <w:t xml:space="preserve">Identify pending commissions and their payment terms</w:t>
      </w:r>
    </w:p>
    <w:p>
      <w:pPr>
        <w:pStyle w:val="ListParagraph"/>
        <w:numPr>
          <w:ilvl w:val="1"/>
          <w:numId w:val="1"/>
        </w:numPr>
        <w:spacing w:after="40"/>
      </w:pPr>
      <w:r>
        <w:t xml:space="preserve">Notify the managing broker, office manager, and transaction coordinator</w:t>
      </w:r>
    </w:p>
    <w:p>
      <w:pPr>
        <w:pStyle w:val="Heading3"/>
        <w:spacing w:after="40" w:before="160"/>
      </w:pPr>
      <w:r>
        <w:t xml:space="preserve">Step 2: Reassign active transactions and listings</w:t>
      </w:r>
    </w:p>
    <w:p>
      <w:pPr>
        <w:spacing w:after="100"/>
      </w:pPr>
      <w:r>
        <w:t xml:space="preserve">Pull the departing agent's active transaction list from Dotloop. The managing broker assigns each active transaction and listing to a replacement agent. For listings, the managing broker contacts the seller to explain the change. For buyer transactions under contract, notify all parties (title, lender, cooperating agent) of the new point of contact.</w:t>
      </w:r>
    </w:p>
    <w:p>
      <w:pPr>
        <w:spacing w:after="100"/>
      </w:pPr>
      <w:r>
        <w:rPr>
          <w:i/>
          <w:iCs/>
          <w:color w:val="B45309"/>
        </w:rPr>
        <w:t xml:space="preserve">Warning: Active transactions with approaching deadlines (inspection contingencies, financing deadlines, closing dates) need immediate attention. A missed deadline because no one was assigned is the brokerage's liability.</w:t>
      </w:r>
    </w:p>
    <w:p>
      <w:pPr>
        <w:pStyle w:val="Heading3"/>
        <w:spacing w:after="40" w:before="160"/>
      </w:pPr>
      <w:r>
        <w:t xml:space="preserve">Step 3: Notify clients of the agent change</w:t>
      </w:r>
    </w:p>
    <w:p>
      <w:pPr>
        <w:spacing w:after="100"/>
      </w:pPr>
      <w:r>
        <w:t xml:space="preserve">Within 48 hours of the departure announcement, contact every active client of the departing agent. Introduce the replacement agent by phone first, followed by a written notification. Give clients the option to continue with the brokerage or find other representation.</w:t>
      </w:r>
    </w:p>
    <w:p>
      <w:pPr>
        <w:pStyle w:val="ListParagraph"/>
        <w:numPr>
          <w:ilvl w:val="1"/>
          <w:numId w:val="1"/>
        </w:numPr>
        <w:spacing w:after="40"/>
      </w:pPr>
      <w:r>
        <w:t xml:space="preserve">Phone call to each active client introducing the replacement agent</w:t>
      </w:r>
    </w:p>
    <w:p>
      <w:pPr>
        <w:pStyle w:val="ListParagraph"/>
        <w:numPr>
          <w:ilvl w:val="1"/>
          <w:numId w:val="1"/>
        </w:numPr>
        <w:spacing w:after="40"/>
      </w:pPr>
      <w:r>
        <w:t xml:space="preserve">Follow up with written notification via email</w:t>
      </w:r>
    </w:p>
    <w:p>
      <w:pPr>
        <w:pStyle w:val="ListParagraph"/>
        <w:numPr>
          <w:ilvl w:val="1"/>
          <w:numId w:val="1"/>
        </w:numPr>
        <w:spacing w:after="40"/>
      </w:pPr>
      <w:r>
        <w:t xml:space="preserve">Document client's decision to stay or leave</w:t>
      </w:r>
    </w:p>
    <w:p>
      <w:pPr>
        <w:pStyle w:val="ListParagraph"/>
        <w:numPr>
          <w:ilvl w:val="1"/>
          <w:numId w:val="1"/>
        </w:numPr>
        <w:spacing w:after="40"/>
      </w:pPr>
      <w:r>
        <w:t xml:space="preserve">For clients who leave, facilitate file transfer within 5 business days</w:t>
      </w:r>
    </w:p>
    <w:p>
      <w:pPr>
        <w:pStyle w:val="Heading3"/>
        <w:spacing w:after="40" w:before="160"/>
      </w:pPr>
      <w:r>
        <w:t xml:space="preserve">Step 4: Revoke system access</w:t>
      </w:r>
    </w:p>
    <w:p>
      <w:pPr>
        <w:spacing w:after="100"/>
      </w:pPr>
      <w:r>
        <w:t xml:space="preserve">On the departing agent's last day, revoke access to: MLS, Dotloop, brokerage email, CRM, lockbox/Supra system, and any brokerage-specific tools. Set up email forwarding to the managing broker for 60 days to catch client communications.</w:t>
      </w:r>
    </w:p>
    <w:p>
      <w:pPr>
        <w:pStyle w:val="ListParagraph"/>
        <w:numPr>
          <w:ilvl w:val="1"/>
          <w:numId w:val="1"/>
        </w:numPr>
        <w:spacing w:after="40"/>
      </w:pPr>
      <w:r>
        <w:t xml:space="preserve">Disable MLS access</w:t>
      </w:r>
    </w:p>
    <w:p>
      <w:pPr>
        <w:pStyle w:val="ListParagraph"/>
        <w:numPr>
          <w:ilvl w:val="1"/>
          <w:numId w:val="1"/>
        </w:numPr>
        <w:spacing w:after="40"/>
      </w:pPr>
      <w:r>
        <w:t xml:space="preserve">Remove Dotloop team access (do not delete historical transactions)</w:t>
      </w:r>
    </w:p>
    <w:p>
      <w:pPr>
        <w:pStyle w:val="ListParagraph"/>
        <w:numPr>
          <w:ilvl w:val="1"/>
          <w:numId w:val="1"/>
        </w:numPr>
        <w:spacing w:after="40"/>
      </w:pPr>
      <w:r>
        <w:t xml:space="preserve">Disable brokerage email and set forwarding</w:t>
      </w:r>
    </w:p>
    <w:p>
      <w:pPr>
        <w:pStyle w:val="ListParagraph"/>
        <w:numPr>
          <w:ilvl w:val="1"/>
          <w:numId w:val="1"/>
        </w:numPr>
        <w:spacing w:after="40"/>
      </w:pPr>
      <w:r>
        <w:t xml:space="preserve">Deactivate lockbox/Supra key credentials</w:t>
      </w:r>
    </w:p>
    <w:p>
      <w:pPr>
        <w:pStyle w:val="ListParagraph"/>
        <w:numPr>
          <w:ilvl w:val="1"/>
          <w:numId w:val="1"/>
        </w:numPr>
        <w:spacing w:after="40"/>
      </w:pPr>
      <w:r>
        <w:t xml:space="preserve">Remove from CRM and brokerage tools</w:t>
      </w:r>
    </w:p>
    <w:p>
      <w:pPr>
        <w:pStyle w:val="Heading3"/>
        <w:spacing w:after="40" w:before="160"/>
      </w:pPr>
      <w:r>
        <w:t xml:space="preserve">Step 5: Collect brokerage property</w:t>
      </w:r>
    </w:p>
    <w:p>
      <w:pPr>
        <w:spacing w:after="100"/>
      </w:pPr>
      <w:r>
        <w:t xml:space="preserve">Collect all brokerage-owned items: lockbox keys, yard signs, name riders, brokerage business cards, marketing materials, and any brokerage-owned technology. Remove the agent's name rider from any active listings.</w:t>
      </w:r>
    </w:p>
    <w:p>
      <w:pPr>
        <w:pStyle w:val="ListParagraph"/>
        <w:numPr>
          <w:ilvl w:val="1"/>
          <w:numId w:val="1"/>
        </w:numPr>
        <w:spacing w:after="40"/>
      </w:pPr>
      <w:r>
        <w:t xml:space="preserve">Collect lockbox key and Supra eKEY device</w:t>
      </w:r>
    </w:p>
    <w:p>
      <w:pPr>
        <w:pStyle w:val="ListParagraph"/>
        <w:numPr>
          <w:ilvl w:val="1"/>
          <w:numId w:val="1"/>
        </w:numPr>
        <w:spacing w:after="40"/>
      </w:pPr>
      <w:r>
        <w:t xml:space="preserve">Retrieve yard signs and name riders from active listings</w:t>
      </w:r>
    </w:p>
    <w:p>
      <w:pPr>
        <w:pStyle w:val="ListParagraph"/>
        <w:numPr>
          <w:ilvl w:val="1"/>
          <w:numId w:val="1"/>
        </w:numPr>
        <w:spacing w:after="40"/>
      </w:pPr>
      <w:r>
        <w:t xml:space="preserve">Collect unused business cards and marketing materials</w:t>
      </w:r>
    </w:p>
    <w:p>
      <w:pPr>
        <w:pStyle w:val="ListParagraph"/>
        <w:numPr>
          <w:ilvl w:val="1"/>
          <w:numId w:val="1"/>
        </w:numPr>
        <w:spacing w:after="40"/>
      </w:pPr>
      <w:r>
        <w:t xml:space="preserve">Return any brokerage-owned technology</w:t>
      </w:r>
    </w:p>
    <w:p>
      <w:pPr>
        <w:pStyle w:val="Heading3"/>
        <w:spacing w:after="40" w:before="160"/>
      </w:pPr>
      <w:r>
        <w:t xml:space="preserve">Step 6: Release the license and update records</w:t>
      </w:r>
    </w:p>
    <w:p>
      <w:pPr>
        <w:spacing w:after="100"/>
      </w:pPr>
      <w:r>
        <w:t xml:space="preserve">File the license release with the state real estate commission. The timing varies by state — some allow the broker to release online, others require paperwork. Remove the agent from the brokerage website, team page, and office directory. Update the brokerage's agent roster.</w:t>
      </w:r>
    </w:p>
    <w:p>
      <w:pPr>
        <w:pStyle w:val="ListParagraph"/>
        <w:numPr>
          <w:ilvl w:val="1"/>
          <w:numId w:val="1"/>
        </w:numPr>
        <w:spacing w:after="40"/>
      </w:pPr>
      <w:r>
        <w:t xml:space="preserve">File license release with the state real estate commission</w:t>
      </w:r>
    </w:p>
    <w:p>
      <w:pPr>
        <w:pStyle w:val="ListParagraph"/>
        <w:numPr>
          <w:ilvl w:val="1"/>
          <w:numId w:val="1"/>
        </w:numPr>
        <w:spacing w:after="40"/>
      </w:pPr>
      <w:r>
        <w:t xml:space="preserve">Remove from brokerage website and all online directories</w:t>
      </w:r>
    </w:p>
    <w:p>
      <w:pPr>
        <w:pStyle w:val="ListParagraph"/>
        <w:numPr>
          <w:ilvl w:val="1"/>
          <w:numId w:val="1"/>
        </w:numPr>
        <w:spacing w:after="40"/>
      </w:pPr>
      <w:r>
        <w:t xml:space="preserve">Update internal agent roster</w:t>
      </w:r>
    </w:p>
    <w:p>
      <w:pPr>
        <w:pStyle w:val="ListParagraph"/>
        <w:numPr>
          <w:ilvl w:val="1"/>
          <w:numId w:val="1"/>
        </w:numPr>
        <w:spacing w:after="40"/>
      </w:pPr>
      <w:r>
        <w:t xml:space="preserve">Archive the agent's personnel file per retention requirements</w:t>
      </w:r>
    </w:p>
    <w:p>
      <w:pPr>
        <w:pStyle w:val="Heading3"/>
        <w:spacing w:after="40" w:before="160"/>
      </w:pPr>
      <w:r>
        <w:t xml:space="preserve">Step 7: Process final commissions</w:t>
      </w:r>
    </w:p>
    <w:p>
      <w:pPr>
        <w:spacing w:after="100"/>
      </w:pPr>
      <w:r>
        <w:t xml:space="preserve">Per the IC agreement, calculate and pay any pending commissions for transactions that close after the departure date. Verify the commission amount against the closing statement. Issue payment within the timeframe specified in the IC agreement.</w:t>
      </w:r>
    </w:p>
    <w:p>
      <w:pPr>
        <w:spacing w:after="100"/>
      </w:pPr>
      <w:r>
        <w:rPr>
          <w:i/>
          <w:iCs/>
          <w:color w:val="1F7A4D"/>
        </w:rPr>
        <w:t xml:space="preserve">Tip: Document the commission calculation and get the departing agent's written acknowledgment. Commission disputes after departure are common — clear documentation prevents them.</w:t>
      </w:r>
    </w:p>
    <w:p>
      <w:pPr>
        <w:pStyle w:val="Heading2"/>
        <w:spacing w:after="100" w:before="240"/>
      </w:pPr>
      <w:r>
        <w:t xml:space="preserve">Completion Checklist</w:t>
      </w:r>
    </w:p>
    <w:p>
      <w:pPr>
        <w:spacing w:after="40"/>
      </w:pPr>
      <w:r>
        <w:t xml:space="preserve">☐  Departure date and IC agreement provisions documented</w:t>
      </w:r>
    </w:p>
    <w:p>
      <w:pPr>
        <w:spacing w:after="40"/>
      </w:pPr>
      <w:r>
        <w:t xml:space="preserve">☐  All active transactions reassigned to replacement agents</w:t>
      </w:r>
    </w:p>
    <w:p>
      <w:pPr>
        <w:spacing w:after="40"/>
      </w:pPr>
      <w:r>
        <w:t xml:space="preserve">☐  Active listings reassigned and seller notified</w:t>
      </w:r>
    </w:p>
    <w:p>
      <w:pPr>
        <w:spacing w:after="40"/>
      </w:pPr>
      <w:r>
        <w:t xml:space="preserve">☐  All clients contacted and replacement agent introduced</w:t>
      </w:r>
    </w:p>
    <w:p>
      <w:pPr>
        <w:spacing w:after="40"/>
      </w:pPr>
      <w:r>
        <w:t xml:space="preserve">☐  Client decisions to stay or leave documented</w:t>
      </w:r>
    </w:p>
    <w:p>
      <w:pPr>
        <w:spacing w:after="40"/>
      </w:pPr>
      <w:r>
        <w:t xml:space="preserve">☐  MLS, Dotloop, and email access revoked on last day</w:t>
      </w:r>
    </w:p>
    <w:p>
      <w:pPr>
        <w:spacing w:after="40"/>
      </w:pPr>
      <w:r>
        <w:t xml:space="preserve">☐  Lockbox/Supra credentials deactivated</w:t>
      </w:r>
    </w:p>
    <w:p>
      <w:pPr>
        <w:spacing w:after="40"/>
      </w:pPr>
      <w:r>
        <w:t xml:space="preserve">☐  Brokerage property collected (signs, keys, materials)</w:t>
      </w:r>
    </w:p>
    <w:p>
      <w:pPr>
        <w:spacing w:after="40"/>
      </w:pPr>
      <w:r>
        <w:t xml:space="preserve">☐  License release filed with state commission</w:t>
      </w:r>
    </w:p>
    <w:p>
      <w:pPr>
        <w:spacing w:after="40"/>
      </w:pPr>
      <w:r>
        <w:t xml:space="preserve">☐  Agent removed from website and directories</w:t>
      </w:r>
    </w:p>
    <w:p>
      <w:pPr>
        <w:spacing w:after="40"/>
      </w:pPr>
      <w:r>
        <w:t xml:space="preserve">☐  Email forwarding set up for 60 days</w:t>
      </w:r>
    </w:p>
    <w:p>
      <w:pPr>
        <w:spacing w:after="40"/>
      </w:pPr>
      <w:r>
        <w:t xml:space="preserve">☐  Final commission calculations documented</w:t>
      </w:r>
    </w:p>
    <w:p>
      <w:pPr>
        <w:spacing w:after="40"/>
      </w:pPr>
      <w:r>
        <w:t xml:space="preserve">☐  Personnel file archived per retention policy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Transaction reassignment</w:t>
            </w:r>
          </w:p>
        </w:tc>
        <w:tc>
          <w:tcPr>
            <w:tcMar>
              <w:top w:type="dxa" w:w="60"/>
              <w:left w:type="dxa" w:w="120"/>
              <w:bottom w:type="dxa" w:w="60"/>
              <w:right w:type="dxa" w:w="120"/>
            </w:tcMar>
          </w:tcPr>
          <w:p>
            <w:r>
              <w:rPr>
                <w:b w:val="false"/>
                <w:bCs w:val="false"/>
              </w:rPr>
              <w:t xml:space="preserve">100% reassigned within 48 hours</w:t>
            </w:r>
          </w:p>
        </w:tc>
      </w:tr>
      <w:tr>
        <w:trPr>
          <w:tblHeader w:val="false"/>
        </w:trPr>
        <w:tc>
          <w:tcPr>
            <w:tcMar>
              <w:top w:type="dxa" w:w="60"/>
              <w:left w:type="dxa" w:w="120"/>
              <w:bottom w:type="dxa" w:w="60"/>
              <w:right w:type="dxa" w:w="120"/>
            </w:tcMar>
          </w:tcPr>
          <w:p>
            <w:r>
              <w:rPr>
                <w:b w:val="false"/>
                <w:bCs w:val="false"/>
              </w:rPr>
              <w:t xml:space="preserve">Client notification</w:t>
            </w:r>
          </w:p>
        </w:tc>
        <w:tc>
          <w:tcPr>
            <w:tcMar>
              <w:top w:type="dxa" w:w="60"/>
              <w:left w:type="dxa" w:w="120"/>
              <w:bottom w:type="dxa" w:w="60"/>
              <w:right w:type="dxa" w:w="120"/>
            </w:tcMar>
          </w:tcPr>
          <w:p>
            <w:r>
              <w:rPr>
                <w:b w:val="false"/>
                <w:bCs w:val="false"/>
              </w:rPr>
              <w:t xml:space="preserve">All clients contacted within 48 hours</w:t>
            </w:r>
          </w:p>
        </w:tc>
      </w:tr>
      <w:tr>
        <w:trPr>
          <w:tblHeader w:val="false"/>
        </w:trPr>
        <w:tc>
          <w:tcPr>
            <w:tcMar>
              <w:top w:type="dxa" w:w="60"/>
              <w:left w:type="dxa" w:w="120"/>
              <w:bottom w:type="dxa" w:w="60"/>
              <w:right w:type="dxa" w:w="120"/>
            </w:tcMar>
          </w:tcPr>
          <w:p>
            <w:r>
              <w:rPr>
                <w:b w:val="false"/>
                <w:bCs w:val="false"/>
              </w:rPr>
              <w:t xml:space="preserve">System access revocation</w:t>
            </w:r>
          </w:p>
        </w:tc>
        <w:tc>
          <w:tcPr>
            <w:tcMar>
              <w:top w:type="dxa" w:w="60"/>
              <w:left w:type="dxa" w:w="120"/>
              <w:bottom w:type="dxa" w:w="60"/>
              <w:right w:type="dxa" w:w="120"/>
            </w:tcMar>
          </w:tcPr>
          <w:p>
            <w:r>
              <w:rPr>
                <w:b w:val="false"/>
                <w:bCs w:val="false"/>
              </w:rPr>
              <w:t xml:space="preserve">Same day as departure</w:t>
            </w:r>
          </w:p>
        </w:tc>
      </w:tr>
      <w:tr>
        <w:trPr>
          <w:tblHeader w:val="false"/>
        </w:trPr>
        <w:tc>
          <w:tcPr>
            <w:tcMar>
              <w:top w:type="dxa" w:w="60"/>
              <w:left w:type="dxa" w:w="120"/>
              <w:bottom w:type="dxa" w:w="60"/>
              <w:right w:type="dxa" w:w="120"/>
            </w:tcMar>
          </w:tcPr>
          <w:p>
            <w:r>
              <w:rPr>
                <w:b w:val="false"/>
                <w:bCs w:val="false"/>
              </w:rPr>
              <w:t xml:space="preserve">License release filing</w:t>
            </w:r>
          </w:p>
        </w:tc>
        <w:tc>
          <w:tcPr>
            <w:tcMar>
              <w:top w:type="dxa" w:w="60"/>
              <w:left w:type="dxa" w:w="120"/>
              <w:bottom w:type="dxa" w:w="60"/>
              <w:right w:type="dxa" w:w="120"/>
            </w:tcMar>
          </w:tcPr>
          <w:p>
            <w:r>
              <w:rPr>
                <w:b w:val="false"/>
                <w:bCs w:val="false"/>
              </w:rPr>
              <w:t xml:space="preserve">Within 5 business days</w:t>
            </w:r>
          </w:p>
        </w:tc>
      </w:tr>
    </w:tbl>
    <w:p>
      <w:pPr>
        <w:pStyle w:val="Heading2"/>
        <w:spacing w:after="100" w:before="240"/>
      </w:pPr>
      <w:r>
        <w:t xml:space="preserve">Revision Schedule</w:t>
      </w:r>
    </w:p>
    <w:p>
      <w:pPr>
        <w:spacing w:after="100"/>
      </w:pPr>
      <w:r>
        <w:t xml:space="preserve">Annually, or after any departure that resulted in a client complaint, missed deadline, or commission dispute.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Employee Offboarding Standard Operating Procedure Template</dc:title>
  <dc:creator>Glyde</dc:creator>
  <dc:description>Free employee offboarding SOP for real estate brokerages. Covers license transfer, client reassignment, and system access revocation.</dc:description>
  <cp:lastModifiedBy>Un-named</cp:lastModifiedBy>
  <cp:revision>1</cp:revision>
  <dcterms:created xsi:type="dcterms:W3CDTF">2026-07-22T08:34:35.976Z</dcterms:created>
  <dcterms:modified xsi:type="dcterms:W3CDTF">2026-07-22T08:34:35.976Z</dcterms:modified>
</cp:coreProperties>
</file>

<file path=docProps/custom.xml><?xml version="1.0" encoding="utf-8"?>
<Properties xmlns="http://schemas.openxmlformats.org/officeDocument/2006/custom-properties" xmlns:vt="http://schemas.openxmlformats.org/officeDocument/2006/docPropsVTypes"/>
</file>