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Real Estate Procurement Standard Operating Procedure Template</w:t>
      </w:r>
    </w:p>
    <w:p>
      <w:pPr>
        <w:spacing w:after="200"/>
      </w:pPr>
      <w:r>
        <w:rPr>
          <w:i/>
          <w:iCs/>
          <w:color w:val="6B7280"/>
        </w:rPr>
        <w:t xml:space="preserve">Free procurement SOP template designed for Real Estate Operations teams. Includes step-by-step procedures, checklist, roles, and KPIs.</w:t>
      </w:r>
    </w:p>
    <w:p>
      <w:pPr>
        <w:pStyle w:val="Heading2"/>
        <w:spacing w:after="100" w:before="240"/>
      </w:pPr>
      <w:r>
        <w:t xml:space="preserve">Purpose</w:t>
      </w:r>
    </w:p>
    <w:p>
      <w:pPr>
        <w:spacing w:after="100"/>
      </w:pPr>
      <w:r>
        <w:t xml:space="preserve">This SOP standardizes the process for requesting, approving, and purchasing goods and services essential for real estate operations, from office supplies for brokers to property maintenance for managed portfolios. It ensures cost control, vendor compliance, and efficient resource allocation across all real estate activities.</w:t>
      </w:r>
    </w:p>
    <w:p>
      <w:pPr>
        <w:pStyle w:val="Heading2"/>
        <w:spacing w:after="100" w:before="240"/>
      </w:pPr>
      <w:r>
        <w:t xml:space="preserve">Scope</w:t>
      </w:r>
    </w:p>
    <w:p>
      <w:pPr>
        <w:spacing w:after="100"/>
      </w:pPr>
      <w:r>
        <w:t xml:space="preserve">This SOP covers all non-asset procurement for operational needs within the real estate firm, including office supplies, marketing materials (e.g., listing signs), software subscriptions (e.g., Dotloop, AppFolio), and services (e.g., property cleaning, repairs). It does not cover the acquisition or disposition of real property assets or client-specific escrow fund disbursements.</w:t>
      </w:r>
    </w:p>
    <w:p>
      <w:pPr>
        <w:pStyle w:val="Heading2"/>
        <w:spacing w:after="100" w:before="240"/>
      </w:pPr>
      <w:r>
        <w:t xml:space="preserve">Prerequisites</w:t>
      </w:r>
    </w:p>
    <w:p>
      <w:pPr>
        <w:pStyle w:val="ListParagraph"/>
        <w:numPr>
          <w:ilvl w:val="0"/>
          <w:numId w:val="1"/>
        </w:numPr>
        <w:spacing w:after="40"/>
      </w:pPr>
      <w:r>
        <w:t xml:space="preserve">Access to the approved vendor list with current licensing and insurance details.</w:t>
      </w:r>
    </w:p>
    <w:p>
      <w:pPr>
        <w:pStyle w:val="ListParagraph"/>
        <w:numPr>
          <w:ilvl w:val="0"/>
          <w:numId w:val="1"/>
        </w:numPr>
        <w:spacing w:after="40"/>
      </w:pPr>
      <w:r>
        <w:t xml:space="preserve">Current departmental budget information and cost codes.</w:t>
      </w:r>
    </w:p>
    <w:p>
      <w:pPr>
        <w:pStyle w:val="ListParagraph"/>
        <w:numPr>
          <w:ilvl w:val="0"/>
          <w:numId w:val="1"/>
        </w:numPr>
        <w:spacing w:after="40"/>
      </w:pPr>
      <w:r>
        <w:t xml:space="preserve">Login credentials for AppFolio or Buildium for expense tracking.</w:t>
      </w:r>
    </w:p>
    <w:p>
      <w:pPr>
        <w:pStyle w:val="ListParagraph"/>
        <w:numPr>
          <w:ilvl w:val="0"/>
          <w:numId w:val="1"/>
        </w:numPr>
        <w:spacing w:after="40"/>
      </w:pPr>
      <w:r>
        <w:t xml:space="preserve">Access to the digital Purchase Request Form.</w:t>
      </w:r>
    </w:p>
    <w:p>
      <w:pPr>
        <w:pStyle w:val="ListParagraph"/>
        <w:numPr>
          <w:ilvl w:val="0"/>
          <w:numId w:val="1"/>
        </w:numPr>
        <w:spacing w:after="40"/>
      </w:pPr>
      <w:r>
        <w:t xml:space="preserve">Understanding of state licensing requirements for contractors and service providers.</w:t>
      </w:r>
    </w:p>
    <w:p>
      <w:pPr>
        <w:pStyle w:val="Heading2"/>
        <w:spacing w:after="100" w:before="240"/>
      </w:pPr>
      <w:r>
        <w:t xml:space="preserve">Roles &amp; Responsibilities</w:t>
      </w:r>
    </w:p>
    <w:p>
      <w:pPr>
        <w:spacing w:after="40" w:before="120"/>
      </w:pPr>
      <w:r>
        <w:rPr>
          <w:b/>
          <w:bCs/>
        </w:rPr>
        <w:t xml:space="preserve">Requester (Broker, Property Manager, Transaction Coordinator)</w:t>
      </w:r>
    </w:p>
    <w:p>
      <w:pPr>
        <w:pStyle w:val="ListParagraph"/>
        <w:numPr>
          <w:ilvl w:val="0"/>
          <w:numId w:val="1"/>
        </w:numPr>
        <w:spacing w:after="40"/>
      </w:pPr>
      <w:r>
        <w:t xml:space="preserve">Initiates purchase requests.</w:t>
      </w:r>
    </w:p>
    <w:p>
      <w:pPr>
        <w:pStyle w:val="ListParagraph"/>
        <w:numPr>
          <w:ilvl w:val="0"/>
          <w:numId w:val="1"/>
        </w:numPr>
        <w:spacing w:after="40"/>
      </w:pPr>
      <w:r>
        <w:t xml:space="preserve">Provides clear justification and specifications.</w:t>
      </w:r>
    </w:p>
    <w:p>
      <w:pPr>
        <w:pStyle w:val="ListParagraph"/>
        <w:numPr>
          <w:ilvl w:val="0"/>
          <w:numId w:val="1"/>
        </w:numPr>
        <w:spacing w:after="40"/>
      </w:pPr>
      <w:r>
        <w:t xml:space="preserve">Verifies receipt of goods/services.</w:t>
      </w:r>
    </w:p>
    <w:p>
      <w:pPr>
        <w:spacing w:after="40" w:before="120"/>
      </w:pPr>
      <w:r>
        <w:rPr>
          <w:b/>
          <w:bCs/>
        </w:rPr>
        <w:t xml:space="preserve">Operations Manager</w:t>
      </w:r>
    </w:p>
    <w:p>
      <w:pPr>
        <w:pStyle w:val="ListParagraph"/>
        <w:numPr>
          <w:ilvl w:val="0"/>
          <w:numId w:val="1"/>
        </w:numPr>
        <w:spacing w:after="40"/>
      </w:pPr>
      <w:r>
        <w:t xml:space="preserve">Reviews and approves purchase requests within budget limits.</w:t>
      </w:r>
    </w:p>
    <w:p>
      <w:pPr>
        <w:pStyle w:val="ListParagraph"/>
        <w:numPr>
          <w:ilvl w:val="0"/>
          <w:numId w:val="1"/>
        </w:numPr>
        <w:spacing w:after="40"/>
      </w:pPr>
      <w:r>
        <w:t xml:space="preserve">Manages vendor relationships and negotiates terms.</w:t>
      </w:r>
    </w:p>
    <w:p>
      <w:pPr>
        <w:pStyle w:val="ListParagraph"/>
        <w:numPr>
          <w:ilvl w:val="0"/>
          <w:numId w:val="1"/>
        </w:numPr>
        <w:spacing w:after="40"/>
      </w:pPr>
      <w:r>
        <w:t xml:space="preserve">Ensures compliance with procurement policies.</w:t>
      </w:r>
    </w:p>
    <w:p>
      <w:pPr>
        <w:spacing w:after="40" w:before="120"/>
      </w:pPr>
      <w:r>
        <w:rPr>
          <w:b/>
          <w:bCs/>
        </w:rPr>
        <w:t xml:space="preserve">COO / Broker-in-Charge</w:t>
      </w:r>
    </w:p>
    <w:p>
      <w:pPr>
        <w:pStyle w:val="ListParagraph"/>
        <w:numPr>
          <w:ilvl w:val="0"/>
          <w:numId w:val="1"/>
        </w:numPr>
        <w:spacing w:after="40"/>
      </w:pPr>
      <w:r>
        <w:t xml:space="preserve">Approves high-value purchase requests.</w:t>
      </w:r>
    </w:p>
    <w:p>
      <w:pPr>
        <w:pStyle w:val="ListParagraph"/>
        <w:numPr>
          <w:ilvl w:val="0"/>
          <w:numId w:val="1"/>
        </w:numPr>
        <w:spacing w:after="40"/>
      </w:pPr>
      <w:r>
        <w:t xml:space="preserve">Oversees overall procurement strategy and budget.</w:t>
      </w:r>
    </w:p>
    <w:p>
      <w:pPr>
        <w:pStyle w:val="ListParagraph"/>
        <w:numPr>
          <w:ilvl w:val="0"/>
          <w:numId w:val="1"/>
        </w:numPr>
        <w:spacing w:after="40"/>
      </w:pPr>
      <w:r>
        <w:t xml:space="preserve">Ensures adherence to state licensing and Fair Housing Act guidelines in vendor selection.</w:t>
      </w:r>
    </w:p>
    <w:p>
      <w:pPr>
        <w:spacing w:after="40" w:before="120"/>
      </w:pPr>
      <w:r>
        <w:rPr>
          <w:b/>
          <w:bCs/>
        </w:rPr>
        <w:t xml:space="preserve">Accounts Payable</w:t>
      </w:r>
    </w:p>
    <w:p>
      <w:pPr>
        <w:pStyle w:val="ListParagraph"/>
        <w:numPr>
          <w:ilvl w:val="0"/>
          <w:numId w:val="1"/>
        </w:numPr>
        <w:spacing w:after="40"/>
      </w:pPr>
      <w:r>
        <w:t xml:space="preserve">Processes purchase orders and invoices.</w:t>
      </w:r>
    </w:p>
    <w:p>
      <w:pPr>
        <w:pStyle w:val="ListParagraph"/>
        <w:numPr>
          <w:ilvl w:val="0"/>
          <w:numId w:val="1"/>
        </w:numPr>
        <w:spacing w:after="40"/>
      </w:pPr>
      <w:r>
        <w:t xml:space="preserve">Ensures accurate expense coding in AppFolio/Buildium.</w:t>
      </w:r>
    </w:p>
    <w:p>
      <w:pPr>
        <w:pStyle w:val="ListParagraph"/>
        <w:numPr>
          <w:ilvl w:val="0"/>
          <w:numId w:val="1"/>
        </w:numPr>
        <w:spacing w:after="40"/>
      </w:pPr>
      <w:r>
        <w:t xml:space="preserve">Manages vendor payments.</w:t>
      </w:r>
    </w:p>
    <w:p>
      <w:pPr>
        <w:pStyle w:val="Heading2"/>
        <w:spacing w:after="100" w:before="240"/>
      </w:pPr>
      <w:r>
        <w:t xml:space="preserve">Procedure</w:t>
      </w:r>
    </w:p>
    <w:p>
      <w:pPr>
        <w:pStyle w:val="Heading3"/>
        <w:spacing w:after="40" w:before="160"/>
      </w:pPr>
      <w:r>
        <w:t xml:space="preserve">Step 1: Initiate Purchase Request</w:t>
      </w:r>
    </w:p>
    <w:p>
      <w:pPr>
        <w:spacing w:after="100"/>
      </w:pPr>
      <w:r>
        <w:t xml:space="preserve">Any team member needing goods or services for real estate operations (e.g., new 'For Sale' signs, a subscription to a Zillow analytics tool, repairs for a managed property) must complete the digital Purchase Request Form. Clearly state the item/service, quantity, estimated cost, and business justification (e.g., 'Needed for 123 Main St listing'). Attach any relevant quotes or specifications.</w:t>
      </w:r>
    </w:p>
    <w:p>
      <w:pPr>
        <w:spacing w:after="100"/>
      </w:pPr>
      <w:r>
        <w:rPr>
          <w:i/>
          <w:iCs/>
          <w:color w:val="1F7A4D"/>
        </w:rPr>
        <w:t xml:space="preserve">Tip: For property maintenance, include property address and tenant contact information if applicable. For marketing, specify the listing ID from Dotloop.</w:t>
      </w:r>
    </w:p>
    <w:p>
      <w:pPr>
        <w:pStyle w:val="Heading3"/>
        <w:spacing w:after="40" w:before="160"/>
      </w:pPr>
      <w:r>
        <w:t xml:space="preserve">Step 2: Vendor Selection and Quotation</w:t>
      </w:r>
    </w:p>
    <w:p>
      <w:pPr>
        <w:spacing w:after="100"/>
      </w:pPr>
      <w:r>
        <w:t xml:space="preserve">For requests over $500 (or as specified by budget category), the Requester or Operations Manager must obtain at least three competitive quotes from approved vendors. For property maintenance, verify contractor state licensing and insurance are current. For new vendors, complete the New Vendor Setup form, including W-9 and compliance checks, ensuring no discriminatory practices in line with the Fair Housing Act.</w:t>
      </w:r>
    </w:p>
    <w:p>
      <w:pPr>
        <w:spacing w:after="100"/>
      </w:pPr>
      <w:r>
        <w:rPr>
          <w:i/>
          <w:iCs/>
          <w:color w:val="B45309"/>
        </w:rPr>
        <w:t xml:space="preserve">Warning: Selecting a vendor based on anything other than merit, cost, and compliance (e.g., personal relationships, protected characteristics) violates firm policy and potentially Fair Housing Act principles.</w:t>
      </w:r>
    </w:p>
    <w:p>
      <w:pPr>
        <w:pStyle w:val="Heading3"/>
        <w:spacing w:after="40" w:before="160"/>
      </w:pPr>
      <w:r>
        <w:t xml:space="preserve">Step 3: Obtain Approval</w:t>
      </w:r>
    </w:p>
    <w:p>
      <w:pPr>
        <w:spacing w:after="100"/>
      </w:pPr>
      <w:r>
        <w:t xml:space="preserve">Submit the completed Purchase Request Form, along with all quotes and vendor details, to the Operations Manager. Requests over $2,500 require secondary approval from the COO or Broker-in-Charge. All approvals must be documented within 5 business days from submission. The Operations Manager will confirm budget availability and appropriate cost coding for AppFolio or Buildium.</w:t>
      </w:r>
    </w:p>
    <w:p>
      <w:pPr>
        <w:pStyle w:val="ListParagraph"/>
        <w:numPr>
          <w:ilvl w:val="1"/>
          <w:numId w:val="1"/>
        </w:numPr>
        <w:spacing w:after="40"/>
      </w:pPr>
      <w:r/>
    </w:p>
    <w:p>
      <w:pPr>
        <w:pStyle w:val="ListParagraph"/>
        <w:numPr>
          <w:ilvl w:val="1"/>
          <w:numId w:val="1"/>
        </w:numPr>
        <w:spacing w:after="40"/>
      </w:pPr>
      <w:r/>
    </w:p>
    <w:p>
      <w:pPr>
        <w:spacing w:after="100"/>
      </w:pPr>
      <w:r>
        <w:rPr>
          <w:i/>
          <w:iCs/>
          <w:color w:val="1F7A4D"/>
        </w:rPr>
        <w:t xml:space="preserve">Tip: Use the internal approval workflow system to track status and ensure all necessary sign-offs are captured digitally.</w:t>
      </w:r>
    </w:p>
    <w:p>
      <w:pPr>
        <w:pStyle w:val="Heading3"/>
        <w:spacing w:after="40" w:before="160"/>
      </w:pPr>
      <w:r>
        <w:t xml:space="preserve">Step 4: Place Order and Document</w:t>
      </w:r>
    </w:p>
    <w:p>
      <w:pPr>
        <w:spacing w:after="100"/>
      </w:pPr>
      <w:r>
        <w:t xml:space="preserve">Once approved, the Operations Manager or designated team member places the order with the selected vendor. A formal Purchase Order (PO) must be generated and sent to the vendor. Record the PO number, vendor name, item description, and total cost in the firm's expense tracking system (e.g., AppFolio for property-related expenses, general ledger for office supplies).</w:t>
      </w:r>
    </w:p>
    <w:p>
      <w:pPr>
        <w:spacing w:after="100"/>
      </w:pPr>
      <w:r>
        <w:rPr>
          <w:i/>
          <w:iCs/>
          <w:color w:val="B45309"/>
        </w:rPr>
        <w:t xml:space="preserve">Warning: Never place an order without a final, documented approval. Unauthorized purchases will not be reimbursed.</w:t>
      </w:r>
    </w:p>
    <w:p>
      <w:pPr>
        <w:pStyle w:val="Heading3"/>
        <w:spacing w:after="40" w:before="160"/>
      </w:pPr>
      <w:r>
        <w:t xml:space="preserve">Step 5: Receipt, Verification, and Invoice Processing</w:t>
      </w:r>
    </w:p>
    <w:p>
      <w:pPr>
        <w:spacing w:after="100"/>
      </w:pPr>
      <w:r>
        <w:t xml:space="preserve">Upon receipt of goods or completion of services (e.g., new listing photos delivered, HVAC repair completed at a managed property), the Requester verifies that the order matches the PO and is satisfactory. The vendor invoice is then forwarded to Accounts Payable, who will match it against the PO and receipt confirmation. Accounts Payable will process the payment within vendor terms, ensuring accurate entry into AppFolio or Buildium.</w:t>
      </w:r>
    </w:p>
    <w:p>
      <w:pPr>
        <w:spacing w:after="100"/>
      </w:pPr>
      <w:r>
        <w:rPr>
          <w:i/>
          <w:iCs/>
          <w:color w:val="1F7A4D"/>
        </w:rPr>
        <w:t xml:space="preserve">Tip: For services, obtain a signed completion form or photo evidence of work for documentation, especially for property management tasks.</w:t>
      </w:r>
    </w:p>
    <w:p>
      <w:pPr>
        <w:pStyle w:val="Heading2"/>
        <w:spacing w:after="100" w:before="240"/>
      </w:pPr>
      <w:r>
        <w:t xml:space="preserve">Completion Checklist</w:t>
      </w:r>
    </w:p>
    <w:p>
      <w:pPr>
        <w:spacing w:after="40"/>
      </w:pPr>
      <w:r>
        <w:t xml:space="preserve">☐  Purchase Request Form fully completed?</w:t>
      </w:r>
    </w:p>
    <w:p>
      <w:pPr>
        <w:spacing w:after="40"/>
      </w:pPr>
      <w:r>
        <w:t xml:space="preserve">☐  Business justification clearly stated?</w:t>
      </w:r>
    </w:p>
    <w:p>
      <w:pPr>
        <w:spacing w:after="40"/>
      </w:pPr>
      <w:r>
        <w:t xml:space="preserve">☐  Quotes obtained (if required) and attached?</w:t>
      </w:r>
    </w:p>
    <w:p>
      <w:pPr>
        <w:spacing w:after="40"/>
      </w:pPr>
      <w:r>
        <w:t xml:space="preserve">☐  Vendor licensing and insurance verified (for services)?</w:t>
      </w:r>
    </w:p>
    <w:p>
      <w:pPr>
        <w:spacing w:after="40"/>
      </w:pPr>
      <w:r>
        <w:t xml:space="preserve">☐  New Vendor Setup form completed (if applicable)?</w:t>
      </w:r>
    </w:p>
    <w:p>
      <w:pPr>
        <w:spacing w:after="40"/>
      </w:pPr>
      <w:r>
        <w:t xml:space="preserve">☐  Operations Manager approval received?</w:t>
      </w:r>
    </w:p>
    <w:p>
      <w:pPr>
        <w:spacing w:after="40"/>
      </w:pPr>
      <w:r>
        <w:t xml:space="preserve">☐  COO/Broker-in-Charge approval received (if required)?</w:t>
      </w:r>
    </w:p>
    <w:p>
      <w:pPr>
        <w:spacing w:after="40"/>
      </w:pPr>
      <w:r>
        <w:t xml:space="preserve">☐  Budget availability confirmed?</w:t>
      </w:r>
    </w:p>
    <w:p>
      <w:pPr>
        <w:spacing w:after="40"/>
      </w:pPr>
      <w:r>
        <w:t xml:space="preserve">☐  Purchase Order (PO) generated and sent?</w:t>
      </w:r>
    </w:p>
    <w:p>
      <w:pPr>
        <w:spacing w:after="40"/>
      </w:pPr>
      <w:r>
        <w:t xml:space="preserve">☐  Order details accurately entered into AppFolio/Buildium?</w:t>
      </w:r>
    </w:p>
    <w:p>
      <w:pPr>
        <w:spacing w:after="40"/>
      </w:pPr>
      <w:r>
        <w:t xml:space="preserve">☐  Goods/services verified upon receipt/completion?</w:t>
      </w:r>
    </w:p>
    <w:p>
      <w:pPr>
        <w:spacing w:after="40"/>
      </w:pPr>
      <w:r>
        <w:t xml:space="preserve">☐  Invoice matched to PO and receipt?</w:t>
      </w:r>
    </w:p>
    <w:p>
      <w:pPr>
        <w:spacing w:after="40"/>
      </w:pPr>
      <w:r>
        <w:t xml:space="preserve">☐  Invoice coded correctly for accounting?</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Average Purchase Request Approval Time</w:t>
            </w:r>
          </w:p>
        </w:tc>
        <w:tc>
          <w:tcPr>
            <w:tcMar>
              <w:top w:type="dxa" w:w="60"/>
              <w:left w:type="dxa" w:w="120"/>
              <w:bottom w:type="dxa" w:w="60"/>
              <w:right w:type="dxa" w:w="120"/>
            </w:tcMar>
          </w:tcPr>
          <w:p>
            <w:r>
              <w:rPr>
                <w:b w:val="false"/>
                <w:bCs w:val="false"/>
              </w:rPr>
              <w:t xml:space="preserve">Under 5 business days</w:t>
            </w:r>
          </w:p>
        </w:tc>
      </w:tr>
      <w:tr>
        <w:trPr>
          <w:tblHeader w:val="false"/>
        </w:trPr>
        <w:tc>
          <w:tcPr>
            <w:tcMar>
              <w:top w:type="dxa" w:w="60"/>
              <w:left w:type="dxa" w:w="120"/>
              <w:bottom w:type="dxa" w:w="60"/>
              <w:right w:type="dxa" w:w="120"/>
            </w:tcMar>
          </w:tcPr>
          <w:p>
            <w:r>
              <w:rPr>
                <w:b w:val="false"/>
                <w:bCs w:val="false"/>
              </w:rPr>
              <w:t xml:space="preserve">Vendor Compliance Rate (Licensing, Insurance, W-9)</w:t>
            </w:r>
          </w:p>
        </w:tc>
        <w:tc>
          <w:tcPr>
            <w:tcMar>
              <w:top w:type="dxa" w:w="60"/>
              <w:left w:type="dxa" w:w="120"/>
              <w:bottom w:type="dxa" w:w="60"/>
              <w:right w:type="dxa" w:w="120"/>
            </w:tcMar>
          </w:tcPr>
          <w:p>
            <w:r>
              <w:rPr>
                <w:b w:val="false"/>
                <w:bCs w:val="false"/>
              </w:rPr>
              <w:t xml:space="preserve">98%</w:t>
            </w:r>
          </w:p>
        </w:tc>
      </w:tr>
      <w:tr>
        <w:trPr>
          <w:tblHeader w:val="false"/>
        </w:trPr>
        <w:tc>
          <w:tcPr>
            <w:tcMar>
              <w:top w:type="dxa" w:w="60"/>
              <w:left w:type="dxa" w:w="120"/>
              <w:bottom w:type="dxa" w:w="60"/>
              <w:right w:type="dxa" w:w="120"/>
            </w:tcMar>
          </w:tcPr>
          <w:p>
            <w:r>
              <w:rPr>
                <w:b w:val="false"/>
                <w:bCs w:val="false"/>
              </w:rPr>
              <w:t xml:space="preserve">Purchase Order to Invoice Match Rate</w:t>
            </w:r>
          </w:p>
        </w:tc>
        <w:tc>
          <w:tcPr>
            <w:tcMar>
              <w:top w:type="dxa" w:w="60"/>
              <w:left w:type="dxa" w:w="120"/>
              <w:bottom w:type="dxa" w:w="60"/>
              <w:right w:type="dxa" w:w="120"/>
            </w:tcMar>
          </w:tcPr>
          <w:p>
            <w:r>
              <w:rPr>
                <w:b w:val="false"/>
                <w:bCs w:val="false"/>
              </w:rPr>
              <w:t xml:space="preserve">95%</w:t>
            </w:r>
          </w:p>
        </w:tc>
      </w:tr>
      <w:tr>
        <w:trPr>
          <w:tblHeader w:val="false"/>
        </w:trPr>
        <w:tc>
          <w:tcPr>
            <w:tcMar>
              <w:top w:type="dxa" w:w="60"/>
              <w:left w:type="dxa" w:w="120"/>
              <w:bottom w:type="dxa" w:w="60"/>
              <w:right w:type="dxa" w:w="120"/>
            </w:tcMar>
          </w:tcPr>
          <w:p>
            <w:r>
              <w:rPr>
                <w:b w:val="false"/>
                <w:bCs w:val="false"/>
              </w:rPr>
              <w:t xml:space="preserve">Cost Savings from Competitive Bidding</w:t>
            </w:r>
          </w:p>
        </w:tc>
        <w:tc>
          <w:tcPr>
            <w:tcMar>
              <w:top w:type="dxa" w:w="60"/>
              <w:left w:type="dxa" w:w="120"/>
              <w:bottom w:type="dxa" w:w="60"/>
              <w:right w:type="dxa" w:w="120"/>
            </w:tcMar>
          </w:tcPr>
          <w:p>
            <w:r>
              <w:rPr>
                <w:b w:val="false"/>
                <w:bCs w:val="false"/>
              </w:rPr>
              <w:t xml:space="preserve">5% annually on eligible purchases</w:t>
            </w:r>
          </w:p>
        </w:tc>
      </w:tr>
    </w:tbl>
    <w:p>
      <w:pPr>
        <w:pStyle w:val="Heading2"/>
        <w:spacing w:after="100" w:before="240"/>
      </w:pPr>
      <w:r>
        <w:t xml:space="preserve">Revision Schedule</w:t>
      </w:r>
    </w:p>
    <w:p>
      <w:pPr>
        <w:spacing w:after="100"/>
      </w:pPr>
      <w:r>
        <w:t xml:space="preserve">This SOP will be reviewed annually by the Operations Manager and COO, or immediately if there are significant changes to state licensing requirements, Fair Housing Act regulations affecting vendor selection, or internal budget policies.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 Estate Procurement Standard Operating Procedure Template</dc:title>
  <dc:creator>Glyde</dc:creator>
  <dc:description>Free procurement SOP template designed for Real Estate Operations teams. Includes step-by-step procedures, checklist, roles, and KPIs.</dc:description>
  <cp:lastModifiedBy>Un-named</cp:lastModifiedBy>
  <cp:revision>1</cp:revision>
  <dcterms:created xsi:type="dcterms:W3CDTF">2026-07-22T08:34:36.082Z</dcterms:created>
  <dcterms:modified xsi:type="dcterms:W3CDTF">2026-07-22T08:34:36.082Z</dcterms:modified>
</cp:coreProperties>
</file>

<file path=docProps/custom.xml><?xml version="1.0" encoding="utf-8"?>
<Properties xmlns="http://schemas.openxmlformats.org/officeDocument/2006/custom-properties" xmlns:vt="http://schemas.openxmlformats.org/officeDocument/2006/docPropsVTypes"/>
</file>