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Quality Assurance for Accounting &amp; Bookkeeping</w:t>
      </w:r>
    </w:p>
    <w:p>
      <w:pPr>
        <w:spacing w:after="200"/>
      </w:pPr>
      <w:r>
        <w:rPr>
          <w:i/>
          <w:iCs/>
          <w:color w:val="6B7280"/>
        </w:rPr>
        <w:t xml:space="preserve">Free Quality Assurance SOP template designed for Accounting &amp; Bookkeeping Operations teams. Includes step-by-step procedures, checklist, roles, and KPIs.</w:t>
      </w:r>
    </w:p>
    <w:p>
      <w:pPr>
        <w:pStyle w:val="Heading2"/>
        <w:spacing w:after="100" w:before="240"/>
      </w:pPr>
      <w:r>
        <w:t xml:space="preserve">Purpose</w:t>
      </w:r>
    </w:p>
    <w:p>
      <w:pPr>
        <w:spacing w:after="100"/>
      </w:pPr>
      <w:r>
        <w:t xml:space="preserve">Establish a repeatable quality assurance process for reviewing accounting deliverables—financial statements, tax returns, reconciliations, and client reports—against GAAP standards and firm-specific accuracy benchmarks before delivery to clients or filing with the IRS.</w:t>
      </w:r>
    </w:p>
    <w:p>
      <w:pPr>
        <w:pStyle w:val="Heading2"/>
        <w:spacing w:after="100" w:before="240"/>
      </w:pPr>
      <w:r>
        <w:t xml:space="preserve">Scope</w:t>
      </w:r>
    </w:p>
    <w:p>
      <w:pPr>
        <w:spacing w:after="100"/>
      </w:pPr>
      <w:r>
        <w:t xml:space="preserve">Covers all client-facing accounting and bookkeeping deliverables produced by the firm, including monthly financial statements, quarterly tax filings, year-end close packages, and ad-hoc financial reports.</w:t>
      </w:r>
    </w:p>
    <w:p>
      <w:pPr>
        <w:pStyle w:val="Heading2"/>
        <w:spacing w:after="100" w:before="240"/>
      </w:pPr>
      <w:r>
        <w:t xml:space="preserve">Prerequisites</w:t>
      </w:r>
    </w:p>
    <w:p>
      <w:pPr>
        <w:pStyle w:val="ListParagraph"/>
        <w:numPr>
          <w:ilvl w:val="0"/>
          <w:numId w:val="1"/>
        </w:numPr>
        <w:spacing w:after="40"/>
      </w:pPr>
      <w:r>
        <w:t xml:space="preserve">Access to QuickBooks or Xero with reviewer-level permissions for all client accounts</w:t>
      </w:r>
    </w:p>
    <w:p>
      <w:pPr>
        <w:pStyle w:val="ListParagraph"/>
        <w:numPr>
          <w:ilvl w:val="0"/>
          <w:numId w:val="1"/>
        </w:numPr>
        <w:spacing w:after="40"/>
      </w:pPr>
      <w:r>
        <w:t xml:space="preserve">Current GAAP reference guide and IRS publication library available in the firm's knowledge base</w:t>
      </w:r>
    </w:p>
    <w:p>
      <w:pPr>
        <w:pStyle w:val="ListParagraph"/>
        <w:numPr>
          <w:ilvl w:val="0"/>
          <w:numId w:val="1"/>
        </w:numPr>
        <w:spacing w:after="40"/>
      </w:pPr>
      <w:r>
        <w:t xml:space="preserve">Karbon workflow templates configured with QA review stages</w:t>
      </w:r>
    </w:p>
    <w:p>
      <w:pPr>
        <w:pStyle w:val="ListParagraph"/>
        <w:numPr>
          <w:ilvl w:val="0"/>
          <w:numId w:val="1"/>
        </w:numPr>
        <w:spacing w:after="40"/>
      </w:pPr>
      <w:r>
        <w:t xml:space="preserve">Firm-approved checklist of common errors from the previous review cycle</w:t>
      </w:r>
    </w:p>
    <w:p>
      <w:pPr>
        <w:pStyle w:val="ListParagraph"/>
        <w:numPr>
          <w:ilvl w:val="0"/>
          <w:numId w:val="1"/>
        </w:numPr>
        <w:spacing w:after="40"/>
      </w:pPr>
      <w:r>
        <w:t xml:space="preserve">CCH Axcess login credentials for tax return verification</w:t>
      </w:r>
    </w:p>
    <w:p>
      <w:pPr>
        <w:pStyle w:val="Heading2"/>
        <w:spacing w:after="100" w:before="240"/>
      </w:pPr>
      <w:r>
        <w:t xml:space="preserve">Roles &amp; Responsibilities</w:t>
      </w:r>
    </w:p>
    <w:p>
      <w:pPr>
        <w:spacing w:after="40" w:before="120"/>
      </w:pPr>
      <w:r>
        <w:rPr>
          <w:b/>
          <w:bCs/>
        </w:rPr>
        <w:t xml:space="preserve">QA Review Lead</w:t>
      </w:r>
    </w:p>
    <w:p>
      <w:pPr>
        <w:pStyle w:val="ListParagraph"/>
        <w:numPr>
          <w:ilvl w:val="0"/>
          <w:numId w:val="1"/>
        </w:numPr>
        <w:spacing w:after="40"/>
      </w:pPr>
      <w:r>
        <w:t xml:space="preserve">Define inspection criteria for each deliverable type (financials, tax returns, reconciliations)</w:t>
      </w:r>
    </w:p>
    <w:p>
      <w:pPr>
        <w:pStyle w:val="ListParagraph"/>
        <w:numPr>
          <w:ilvl w:val="0"/>
          <w:numId w:val="1"/>
        </w:numPr>
        <w:spacing w:after="40"/>
      </w:pPr>
      <w:r>
        <w:t xml:space="preserve">Assign review tasks in Karbon and track completion against deadlines</w:t>
      </w:r>
    </w:p>
    <w:p>
      <w:pPr>
        <w:pStyle w:val="ListParagraph"/>
        <w:numPr>
          <w:ilvl w:val="0"/>
          <w:numId w:val="1"/>
        </w:numPr>
        <w:spacing w:after="40"/>
      </w:pPr>
      <w:r>
        <w:t xml:space="preserve">Escalate defects classified as critical to the practice owner within 2 hours</w:t>
      </w:r>
    </w:p>
    <w:p>
      <w:pPr>
        <w:spacing w:after="40" w:before="120"/>
      </w:pPr>
      <w:r>
        <w:rPr>
          <w:b/>
          <w:bCs/>
        </w:rPr>
        <w:t xml:space="preserve">Staff Accountant / Preparer</w:t>
      </w:r>
    </w:p>
    <w:p>
      <w:pPr>
        <w:pStyle w:val="ListParagraph"/>
        <w:numPr>
          <w:ilvl w:val="0"/>
          <w:numId w:val="1"/>
        </w:numPr>
        <w:spacing w:after="40"/>
      </w:pPr>
      <w:r>
        <w:t xml:space="preserve">Complete self-review checklist in Karbon before submitting work for QA</w:t>
      </w:r>
    </w:p>
    <w:p>
      <w:pPr>
        <w:pStyle w:val="ListParagraph"/>
        <w:numPr>
          <w:ilvl w:val="0"/>
          <w:numId w:val="1"/>
        </w:numPr>
        <w:spacing w:after="40"/>
      </w:pPr>
      <w:r>
        <w:t xml:space="preserve">Respond to review notes and make corrections within 24 hours</w:t>
      </w:r>
    </w:p>
    <w:p>
      <w:pPr>
        <w:pStyle w:val="ListParagraph"/>
        <w:numPr>
          <w:ilvl w:val="0"/>
          <w:numId w:val="1"/>
        </w:numPr>
        <w:spacing w:after="40"/>
      </w:pPr>
      <w:r>
        <w:t xml:space="preserve">Document any deviations from standard procedures with justification</w:t>
      </w:r>
    </w:p>
    <w:p>
      <w:pPr>
        <w:spacing w:after="40" w:before="120"/>
      </w:pPr>
      <w:r>
        <w:rPr>
          <w:b/>
          <w:bCs/>
        </w:rPr>
        <w:t xml:space="preserve">Practice Owner / Partner</w:t>
      </w:r>
    </w:p>
    <w:p>
      <w:pPr>
        <w:pStyle w:val="ListParagraph"/>
        <w:numPr>
          <w:ilvl w:val="0"/>
          <w:numId w:val="1"/>
        </w:numPr>
        <w:spacing w:after="40"/>
      </w:pPr>
      <w:r>
        <w:t xml:space="preserve">Approve final deliverables flagged with critical findings</w:t>
      </w:r>
    </w:p>
    <w:p>
      <w:pPr>
        <w:pStyle w:val="ListParagraph"/>
        <w:numPr>
          <w:ilvl w:val="0"/>
          <w:numId w:val="1"/>
        </w:numPr>
        <w:spacing w:after="40"/>
      </w:pPr>
      <w:r>
        <w:t xml:space="preserve">Review QA metrics monthly and update inspection criteria as regulations change</w:t>
      </w:r>
    </w:p>
    <w:p>
      <w:pPr>
        <w:pStyle w:val="ListParagraph"/>
        <w:numPr>
          <w:ilvl w:val="0"/>
          <w:numId w:val="1"/>
        </w:numPr>
        <w:spacing w:after="40"/>
      </w:pPr>
      <w:r>
        <w:t xml:space="preserve">Sign off on corrective action plans for recurring defect categories</w:t>
      </w:r>
    </w:p>
    <w:p>
      <w:pPr>
        <w:pStyle w:val="Heading2"/>
        <w:spacing w:after="100" w:before="240"/>
      </w:pPr>
      <w:r>
        <w:t xml:space="preserve">Procedure</w:t>
      </w:r>
    </w:p>
    <w:p>
      <w:pPr>
        <w:pStyle w:val="Heading3"/>
        <w:spacing w:after="40" w:before="160"/>
      </w:pPr>
      <w:r>
        <w:t xml:space="preserve">Step 1: Select deliverables for review using the sampling method</w:t>
      </w:r>
    </w:p>
    <w:p>
      <w:pPr>
        <w:spacing w:after="100"/>
      </w:pPr>
      <w:r>
        <w:t xml:space="preserve">Open Karbon and filter completed tasks for the current review period. Apply the firm's sampling method: review 100% of new client deliverables, 100% of tax returns, and a random 30% sample of recurring monthly bookkeeping packages.</w:t>
      </w:r>
    </w:p>
    <w:p>
      <w:pPr>
        <w:spacing w:after="100"/>
      </w:pPr>
      <w:r>
        <w:rPr>
          <w:i/>
          <w:iCs/>
          <w:color w:val="1F7A4D"/>
        </w:rPr>
        <w:t xml:space="preserve">Tip: Tag high-risk clients in Karbon (new engagements, prior-year audit findings, complex entity structures) so they automatically route to the QA queue.</w:t>
      </w:r>
    </w:p>
    <w:p>
      <w:pPr>
        <w:pStyle w:val="Heading3"/>
        <w:spacing w:after="40" w:before="160"/>
      </w:pPr>
      <w:r>
        <w:t xml:space="preserve">Step 2: Verify GAAP compliance on financial statements</w:t>
      </w:r>
    </w:p>
    <w:p>
      <w:pPr>
        <w:spacing w:after="100"/>
      </w:pPr>
      <w:r>
        <w:t xml:space="preserve">Open the client's financial statements in QuickBooks or Xero. Cross-check revenue recognition against ASC 606 criteria, confirm proper expense classification, and validate that the balance sheet equation holds. Compare account balances to the prior period and investigate variances exceeding 10%.</w:t>
      </w:r>
    </w:p>
    <w:p>
      <w:pPr>
        <w:pStyle w:val="ListParagraph"/>
        <w:numPr>
          <w:ilvl w:val="1"/>
          <w:numId w:val="1"/>
        </w:numPr>
        <w:spacing w:after="40"/>
      </w:pPr>
      <w:r>
        <w:t xml:space="preserve">Confirm revenue is recorded in the correct period per accrual basis requirements</w:t>
      </w:r>
    </w:p>
    <w:p>
      <w:pPr>
        <w:pStyle w:val="ListParagraph"/>
        <w:numPr>
          <w:ilvl w:val="1"/>
          <w:numId w:val="1"/>
        </w:numPr>
        <w:spacing w:after="40"/>
      </w:pPr>
      <w:r>
        <w:t xml:space="preserve">Verify accounts receivable aging matches subsidiary ledger totals</w:t>
      </w:r>
    </w:p>
    <w:p>
      <w:pPr>
        <w:pStyle w:val="ListParagraph"/>
        <w:numPr>
          <w:ilvl w:val="1"/>
          <w:numId w:val="1"/>
        </w:numPr>
        <w:spacing w:after="40"/>
      </w:pPr>
      <w:r>
        <w:t xml:space="preserve">Check that depreciation schedules in QuickBooks align with IRS Publication 946 useful life tables</w:t>
      </w:r>
    </w:p>
    <w:p>
      <w:pPr>
        <w:pStyle w:val="ListParagraph"/>
        <w:numPr>
          <w:ilvl w:val="1"/>
          <w:numId w:val="1"/>
        </w:numPr>
        <w:spacing w:after="40"/>
      </w:pPr>
      <w:r>
        <w:t xml:space="preserve">Validate intercompany eliminations for consolidated entities</w:t>
      </w:r>
    </w:p>
    <w:p>
      <w:pPr>
        <w:spacing w:after="100"/>
      </w:pPr>
      <w:r>
        <w:rPr>
          <w:i/>
          <w:iCs/>
          <w:color w:val="B45309"/>
        </w:rPr>
        <w:t xml:space="preserve">Warning: Do not approve financial statements where unreconciled differences exceed $50. Flag these for immediate correction before client delivery.</w:t>
      </w:r>
    </w:p>
    <w:p>
      <w:pPr>
        <w:pStyle w:val="Heading3"/>
        <w:spacing w:after="40" w:before="160"/>
      </w:pPr>
      <w:r>
        <w:t xml:space="preserve">Step 3: Validate bank and credit card reconciliations</w:t>
      </w:r>
    </w:p>
    <w:p>
      <w:pPr>
        <w:spacing w:after="100"/>
      </w:pPr>
      <w:r>
        <w:t xml:space="preserve">In QuickBooks or Xero, open the bank reconciliation report for each account. Confirm the ending balance matches the bank statement to the penny. Review outstanding checks older than 90 days and flag stale-dated items for client follow-up.</w:t>
      </w:r>
    </w:p>
    <w:p>
      <w:pPr>
        <w:spacing w:after="100"/>
      </w:pPr>
      <w:r>
        <w:rPr>
          <w:i/>
          <w:iCs/>
          <w:color w:val="1F7A4D"/>
        </w:rPr>
        <w:t xml:space="preserve">Tip: Export the reconciliation summary as a PDF and attach it to the Karbon task for the client file—this creates an audit trail if questions arise during tax season.</w:t>
      </w:r>
    </w:p>
    <w:p>
      <w:pPr>
        <w:pStyle w:val="Heading3"/>
        <w:spacing w:after="40" w:before="160"/>
      </w:pPr>
      <w:r>
        <w:t xml:space="preserve">Step 4: Review tax return accuracy in CCH Axcess</w:t>
      </w:r>
    </w:p>
    <w:p>
      <w:pPr>
        <w:spacing w:after="100"/>
      </w:pPr>
      <w:r>
        <w:t xml:space="preserve">Open the prepared return in CCH Axcess and run the built-in diagnostic review. Cross-reference reported income against the QuickBooks or Xero profit and loss statement. Verify that all K-1s, 1099s, and W-2s have been entered and that estimated tax payments match IRS account transcripts.</w:t>
      </w:r>
    </w:p>
    <w:p>
      <w:pPr>
        <w:pStyle w:val="ListParagraph"/>
        <w:numPr>
          <w:ilvl w:val="1"/>
          <w:numId w:val="1"/>
        </w:numPr>
        <w:spacing w:after="40"/>
      </w:pPr>
      <w:r>
        <w:t xml:space="preserve">Confirm the correct filing status, entity type, and state jurisdictions are selected</w:t>
      </w:r>
    </w:p>
    <w:p>
      <w:pPr>
        <w:pStyle w:val="ListParagraph"/>
        <w:numPr>
          <w:ilvl w:val="1"/>
          <w:numId w:val="1"/>
        </w:numPr>
        <w:spacing w:after="40"/>
      </w:pPr>
      <w:r>
        <w:t xml:space="preserve">Verify Schedule C or Schedule E entries tie back to source accounting records</w:t>
      </w:r>
    </w:p>
    <w:p>
      <w:pPr>
        <w:pStyle w:val="ListParagraph"/>
        <w:numPr>
          <w:ilvl w:val="1"/>
          <w:numId w:val="1"/>
        </w:numPr>
        <w:spacing w:after="40"/>
      </w:pPr>
      <w:r>
        <w:t xml:space="preserve">Check that prior-year carryforward amounts (NOLs, capital losses, credits) are accurately reflected</w:t>
      </w:r>
    </w:p>
    <w:p>
      <w:pPr>
        <w:pStyle w:val="ListParagraph"/>
        <w:numPr>
          <w:ilvl w:val="1"/>
          <w:numId w:val="1"/>
        </w:numPr>
        <w:spacing w:after="40"/>
      </w:pPr>
      <w:r>
        <w:t xml:space="preserve">Run the CCH Axcess e-file validation to catch formatting errors before submission</w:t>
      </w:r>
    </w:p>
    <w:p>
      <w:pPr>
        <w:spacing w:after="100"/>
      </w:pPr>
      <w:r>
        <w:rPr>
          <w:i/>
          <w:iCs/>
          <w:color w:val="B45309"/>
        </w:rPr>
        <w:t xml:space="preserve">Warning: Never file a return that shows a CCH Axcess diagnostic error rated 'Must Fix.' These indicate potential IRS rejection or penalty exposure.</w:t>
      </w:r>
    </w:p>
    <w:p>
      <w:pPr>
        <w:pStyle w:val="Heading3"/>
        <w:spacing w:after="40" w:before="160"/>
      </w:pPr>
      <w:r>
        <w:t xml:space="preserve">Step 5: Classify defects by severity</w:t>
      </w:r>
    </w:p>
    <w:p>
      <w:pPr>
        <w:spacing w:after="100"/>
      </w:pPr>
      <w:r>
        <w:t xml:space="preserve">Log each finding in the firm's QA tracking spreadsheet or Karbon notes. Classify defects as Critical (misstated financials, tax calculation errors, GAAP violations), Major (missing disclosures, incomplete reconciliations), or Minor (formatting issues, typos in client-facing reports).</w:t>
      </w:r>
    </w:p>
    <w:p>
      <w:pPr>
        <w:spacing w:after="100"/>
      </w:pPr>
      <w:r>
        <w:rPr>
          <w:i/>
          <w:iCs/>
          <w:color w:val="1F7A4D"/>
        </w:rPr>
        <w:t xml:space="preserve">Tip: Track defect trends by preparer and by client to identify whether errors stem from training gaps or client-specific complexity.</w:t>
      </w:r>
    </w:p>
    <w:p>
      <w:pPr>
        <w:pStyle w:val="Heading3"/>
        <w:spacing w:after="40" w:before="160"/>
      </w:pPr>
      <w:r>
        <w:t xml:space="preserve">Step 6: Return deliverables with review notes to the preparer</w:t>
      </w:r>
    </w:p>
    <w:p>
      <w:pPr>
        <w:spacing w:after="100"/>
      </w:pPr>
      <w:r>
        <w:t xml:space="preserve">In Karbon, reassign the task to the original preparer with detailed review notes attached. For each defect, include the specific line item, the expected value or treatment, and a reference to the applicable GAAP standard or IRS regulation. Set a 24-hour turnaround deadline for corrections.</w:t>
      </w:r>
    </w:p>
    <w:p>
      <w:pPr>
        <w:pStyle w:val="ListParagraph"/>
        <w:numPr>
          <w:ilvl w:val="1"/>
          <w:numId w:val="1"/>
        </w:numPr>
        <w:spacing w:after="40"/>
      </w:pPr>
      <w:r>
        <w:t xml:space="preserve">Use Karbon's comment thread to document the back-and-forth so nothing gets lost</w:t>
      </w:r>
    </w:p>
    <w:p>
      <w:pPr>
        <w:pStyle w:val="ListParagraph"/>
        <w:numPr>
          <w:ilvl w:val="1"/>
          <w:numId w:val="1"/>
        </w:numPr>
        <w:spacing w:after="40"/>
      </w:pPr>
      <w:r>
        <w:t xml:space="preserve">Attach screenshots from QuickBooks or Xero showing the discrepancy</w:t>
      </w:r>
    </w:p>
    <w:p>
      <w:pPr>
        <w:pStyle w:val="ListParagraph"/>
        <w:numPr>
          <w:ilvl w:val="1"/>
          <w:numId w:val="1"/>
        </w:numPr>
        <w:spacing w:after="40"/>
      </w:pPr>
      <w:r>
        <w:t xml:space="preserve">Reference the specific GAAP codification section or IRS code for each finding</w:t>
      </w:r>
    </w:p>
    <w:p>
      <w:pPr>
        <w:pStyle w:val="Heading3"/>
        <w:spacing w:after="40" w:before="160"/>
      </w:pPr>
      <w:r>
        <w:t xml:space="preserve">Step 7: Verify corrections and approve the deliverable</w:t>
      </w:r>
    </w:p>
    <w:p>
      <w:pPr>
        <w:spacing w:after="100"/>
      </w:pPr>
      <w:r>
        <w:t xml:space="preserve">Once the preparer resubmits, re-check only the flagged items. Confirm that corrections are accurate and that no new errors were introduced. Mark the task as 'QA Approved' in Karbon and move it to the client delivery queue.</w:t>
      </w:r>
    </w:p>
    <w:p>
      <w:pPr>
        <w:spacing w:after="100"/>
      </w:pPr>
      <w:r>
        <w:rPr>
          <w:i/>
          <w:iCs/>
          <w:color w:val="B45309"/>
        </w:rPr>
        <w:t xml:space="preserve">Warning: If corrections introduce new defects, return the deliverable again rather than fixing it yourself—this reinforces accountability and helps the preparer learn.</w:t>
      </w:r>
    </w:p>
    <w:p>
      <w:pPr>
        <w:pStyle w:val="Heading3"/>
        <w:spacing w:after="40" w:before="160"/>
      </w:pPr>
      <w:r>
        <w:t xml:space="preserve">Step 8: Document corrective actions for recurring issues</w:t>
      </w:r>
    </w:p>
    <w:p>
      <w:pPr>
        <w:spacing w:after="100"/>
      </w:pPr>
      <w:r>
        <w:t xml:space="preserve">For any defect category that appears in 3 or more reviews within a quarter, create a corrective action item. Assign the QA Review Lead to update the firm's procedures, schedule a training session, or adjust the Karbon workflow template to add a preventive check at the preparation stage.</w:t>
      </w:r>
    </w:p>
    <w:p>
      <w:pPr>
        <w:spacing w:after="100"/>
      </w:pPr>
      <w:r>
        <w:rPr>
          <w:i/>
          <w:iCs/>
          <w:color w:val="1F7A4D"/>
        </w:rPr>
        <w:t xml:space="preserve">Tip: Add a standing agenda item to monthly team meetings to review the top 3 defect categories and discuss root causes.</w:t>
      </w:r>
    </w:p>
    <w:p>
      <w:pPr>
        <w:pStyle w:val="Heading3"/>
        <w:spacing w:after="40" w:before="160"/>
      </w:pPr>
      <w:r>
        <w:t xml:space="preserve">Step 9: Generate the monthly QA report</w:t>
      </w:r>
    </w:p>
    <w:p>
      <w:pPr>
        <w:spacing w:after="100"/>
      </w:pPr>
      <w:r>
        <w:t xml:space="preserve">At month-end, compile QA metrics from Karbon and the tracking spreadsheet. Report on total deliverables reviewed, defect rate by category and severity, average correction turnaround time, and trend comparisons to the prior month. Share the report with the practice owner for review.</w:t>
      </w:r>
    </w:p>
    <w:p>
      <w:pPr>
        <w:pStyle w:val="ListParagraph"/>
        <w:numPr>
          <w:ilvl w:val="1"/>
          <w:numId w:val="1"/>
        </w:numPr>
        <w:spacing w:after="40"/>
      </w:pPr>
      <w:r>
        <w:t xml:space="preserve">Calculate the first-pass accuracy rate (deliverables approved without corrections / total reviewed)</w:t>
      </w:r>
    </w:p>
    <w:p>
      <w:pPr>
        <w:pStyle w:val="ListParagraph"/>
        <w:numPr>
          <w:ilvl w:val="1"/>
          <w:numId w:val="1"/>
        </w:numPr>
        <w:spacing w:after="40"/>
      </w:pPr>
      <w:r>
        <w:t xml:space="preserve">Break down defects by preparer to identify coaching opportunities</w:t>
      </w:r>
    </w:p>
    <w:p>
      <w:pPr>
        <w:pStyle w:val="ListParagraph"/>
        <w:numPr>
          <w:ilvl w:val="1"/>
          <w:numId w:val="1"/>
        </w:numPr>
        <w:spacing w:after="40"/>
      </w:pPr>
      <w:r>
        <w:t xml:space="preserve">Highlight any state-specific tax regulation changes that caused new error types</w:t>
      </w:r>
    </w:p>
    <w:p>
      <w:pPr>
        <w:pStyle w:val="Heading2"/>
        <w:spacing w:after="100" w:before="240"/>
      </w:pPr>
      <w:r>
        <w:t xml:space="preserve">Completion Checklist</w:t>
      </w:r>
    </w:p>
    <w:p>
      <w:pPr>
        <w:spacing w:after="40"/>
      </w:pPr>
      <w:r>
        <w:t xml:space="preserve">☐  Sampling method applied—high-risk and new clients at 100%, recurring at 30%</w:t>
      </w:r>
    </w:p>
    <w:p>
      <w:pPr>
        <w:spacing w:after="40"/>
      </w:pPr>
      <w:r>
        <w:t xml:space="preserve">☐  Balance sheet equation verified (Assets = Liabilities + Equity) in QuickBooks or Xero</w:t>
      </w:r>
    </w:p>
    <w:p>
      <w:pPr>
        <w:spacing w:after="40"/>
      </w:pPr>
      <w:r>
        <w:t xml:space="preserve">☐  Revenue recognition checked against ASC 606 accrual basis criteria</w:t>
      </w:r>
    </w:p>
    <w:p>
      <w:pPr>
        <w:spacing w:after="40"/>
      </w:pPr>
      <w:r>
        <w:t xml:space="preserve">☐  All bank reconciliations balanced to the penny with no unexplained differences</w:t>
      </w:r>
    </w:p>
    <w:p>
      <w:pPr>
        <w:spacing w:after="40"/>
      </w:pPr>
      <w:r>
        <w:t xml:space="preserve">☐  Outstanding checks older than 90 days flagged for client follow-up</w:t>
      </w:r>
    </w:p>
    <w:p>
      <w:pPr>
        <w:spacing w:after="40"/>
      </w:pPr>
      <w:r>
        <w:t xml:space="preserve">☐  Tax return diagnostics run in CCH Axcess with zero 'Must Fix' errors</w:t>
      </w:r>
    </w:p>
    <w:p>
      <w:pPr>
        <w:spacing w:after="40"/>
      </w:pPr>
      <w:r>
        <w:t xml:space="preserve">☐  K-1s, 1099s, and W-2s cross-referenced against source documents</w:t>
      </w:r>
    </w:p>
    <w:p>
      <w:pPr>
        <w:spacing w:after="40"/>
      </w:pPr>
      <w:r>
        <w:t xml:space="preserve">☐  Prior-year carryforward amounts verified in the current return</w:t>
      </w:r>
    </w:p>
    <w:p>
      <w:pPr>
        <w:spacing w:after="40"/>
      </w:pPr>
      <w:r>
        <w:t xml:space="preserve">☐  Defects classified as Critical, Major, or Minor in the tracking log</w:t>
      </w:r>
    </w:p>
    <w:p>
      <w:pPr>
        <w:spacing w:after="40"/>
      </w:pPr>
      <w:r>
        <w:t xml:space="preserve">☐  Review notes include GAAP codification or IRS code references</w:t>
      </w:r>
    </w:p>
    <w:p>
      <w:pPr>
        <w:spacing w:after="40"/>
      </w:pPr>
      <w:r>
        <w:t xml:space="preserve">☐  Corrections verified and deliverable marked 'QA Approved' in Karbon</w:t>
      </w:r>
    </w:p>
    <w:p>
      <w:pPr>
        <w:spacing w:after="40"/>
      </w:pPr>
      <w:r>
        <w:t xml:space="preserve">☐  Monthly QA report generated with defect rates and trend analysis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First-pass accuracy rate</w:t>
            </w:r>
          </w:p>
        </w:tc>
        <w:tc>
          <w:tcPr>
            <w:tcMar>
              <w:top w:type="dxa" w:w="60"/>
              <w:left w:type="dxa" w:w="120"/>
              <w:bottom w:type="dxa" w:w="60"/>
              <w:right w:type="dxa" w:w="120"/>
            </w:tcMar>
          </w:tcPr>
          <w:p>
            <w:r>
              <w:rPr>
                <w:b w:val="false"/>
                <w:bCs w:val="false"/>
              </w:rPr>
              <w:t xml:space="preserve">≥ 92% of deliverables approved without corrections</w:t>
            </w:r>
          </w:p>
        </w:tc>
      </w:tr>
      <w:tr>
        <w:trPr>
          <w:tblHeader w:val="false"/>
        </w:trPr>
        <w:tc>
          <w:tcPr>
            <w:tcMar>
              <w:top w:type="dxa" w:w="60"/>
              <w:left w:type="dxa" w:w="120"/>
              <w:bottom w:type="dxa" w:w="60"/>
              <w:right w:type="dxa" w:w="120"/>
            </w:tcMar>
          </w:tcPr>
          <w:p>
            <w:r>
              <w:rPr>
                <w:b w:val="false"/>
                <w:bCs w:val="false"/>
              </w:rPr>
              <w:t xml:space="preserve">Critical defect rate</w:t>
            </w:r>
          </w:p>
        </w:tc>
        <w:tc>
          <w:tcPr>
            <w:tcMar>
              <w:top w:type="dxa" w:w="60"/>
              <w:left w:type="dxa" w:w="120"/>
              <w:bottom w:type="dxa" w:w="60"/>
              <w:right w:type="dxa" w:w="120"/>
            </w:tcMar>
          </w:tcPr>
          <w:p>
            <w:r>
              <w:rPr>
                <w:b w:val="false"/>
                <w:bCs w:val="false"/>
              </w:rPr>
              <w:t xml:space="preserve">&lt; 1% of all reviewed deliverables</w:t>
            </w:r>
          </w:p>
        </w:tc>
      </w:tr>
      <w:tr>
        <w:trPr>
          <w:tblHeader w:val="false"/>
        </w:trPr>
        <w:tc>
          <w:tcPr>
            <w:tcMar>
              <w:top w:type="dxa" w:w="60"/>
              <w:left w:type="dxa" w:w="120"/>
              <w:bottom w:type="dxa" w:w="60"/>
              <w:right w:type="dxa" w:w="120"/>
            </w:tcMar>
          </w:tcPr>
          <w:p>
            <w:r>
              <w:rPr>
                <w:b w:val="false"/>
                <w:bCs w:val="false"/>
              </w:rPr>
              <w:t xml:space="preserve">Average correction turnaround time</w:t>
            </w:r>
          </w:p>
        </w:tc>
        <w:tc>
          <w:tcPr>
            <w:tcMar>
              <w:top w:type="dxa" w:w="60"/>
              <w:left w:type="dxa" w:w="120"/>
              <w:bottom w:type="dxa" w:w="60"/>
              <w:right w:type="dxa" w:w="120"/>
            </w:tcMar>
          </w:tcPr>
          <w:p>
            <w:r>
              <w:rPr>
                <w:b w:val="false"/>
                <w:bCs w:val="false"/>
              </w:rPr>
              <w:t xml:space="preserve">≤ 24 hours from review note to resubmission</w:t>
            </w:r>
          </w:p>
        </w:tc>
      </w:tr>
      <w:tr>
        <w:trPr>
          <w:tblHeader w:val="false"/>
        </w:trPr>
        <w:tc>
          <w:tcPr>
            <w:tcMar>
              <w:top w:type="dxa" w:w="60"/>
              <w:left w:type="dxa" w:w="120"/>
              <w:bottom w:type="dxa" w:w="60"/>
              <w:right w:type="dxa" w:w="120"/>
            </w:tcMar>
          </w:tcPr>
          <w:p>
            <w:r>
              <w:rPr>
                <w:b w:val="false"/>
                <w:bCs w:val="false"/>
              </w:rPr>
              <w:t xml:space="preserve">QA review completion rate</w:t>
            </w:r>
          </w:p>
        </w:tc>
        <w:tc>
          <w:tcPr>
            <w:tcMar>
              <w:top w:type="dxa" w:w="60"/>
              <w:left w:type="dxa" w:w="120"/>
              <w:bottom w:type="dxa" w:w="60"/>
              <w:right w:type="dxa" w:w="120"/>
            </w:tcMar>
          </w:tcPr>
          <w:p>
            <w:r>
              <w:rPr>
                <w:b w:val="false"/>
                <w:bCs w:val="false"/>
              </w:rPr>
              <w:t xml:space="preserve">100% of sampled deliverables reviewed before client delivery</w:t>
            </w:r>
          </w:p>
        </w:tc>
      </w:tr>
    </w:tbl>
    <w:p>
      <w:pPr>
        <w:pStyle w:val="Heading2"/>
        <w:spacing w:after="100" w:before="240"/>
      </w:pPr>
      <w:r>
        <w:t xml:space="preserve">Revision Schedule</w:t>
      </w:r>
    </w:p>
    <w:p>
      <w:pPr>
        <w:spacing w:after="100"/>
      </w:pPr>
      <w:r>
        <w:t xml:space="preserve">Quarterly, or immediately when GAAP updates, IRS regulation changes, or new state tax requirements take effect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Quality Assurance for Accounting &amp; Bookkeeping</dc:title>
  <dc:creator>Glyde</dc:creator>
  <dc:description>Free Quality Assurance SOP template designed for Accounting &amp; Bookkeeping Operations teams. Includes step-by-step procedures, checklist, roles, and KPIs.</dc:description>
  <cp:lastModifiedBy>Un-named</cp:lastModifiedBy>
  <cp:revision>1</cp:revision>
  <dcterms:created xsi:type="dcterms:W3CDTF">2026-07-22T08:34:36.104Z</dcterms:created>
  <dcterms:modified xsi:type="dcterms:W3CDTF">2026-07-22T08:34:36.104Z</dcterms:modified>
</cp:coreProperties>
</file>

<file path=docProps/custom.xml><?xml version="1.0" encoding="utf-8"?>
<Properties xmlns="http://schemas.openxmlformats.org/officeDocument/2006/custom-properties" xmlns:vt="http://schemas.openxmlformats.org/officeDocument/2006/docPropsVTypes"/>
</file>