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Returns Processing SOP Template for Retail Teams</w:t>
      </w:r>
    </w:p>
    <w:p>
      <w:pPr>
        <w:spacing w:after="200"/>
      </w:pPr>
      <w:r>
        <w:rPr>
          <w:i/>
          <w:iCs/>
          <w:color w:val="6B7280"/>
        </w:rPr>
        <w:t xml:space="preserve">Free returns processing SOP template for retail stores. Covers return eligibility, refund methods, exchange handling, fraud prevention, and restocking procedures.</w:t>
      </w:r>
    </w:p>
    <w:p>
      <w:pPr>
        <w:pStyle w:val="Heading2"/>
        <w:spacing w:after="100" w:before="240"/>
      </w:pPr>
      <w:r>
        <w:t xml:space="preserve">Purpose</w:t>
      </w:r>
    </w:p>
    <w:p>
      <w:pPr>
        <w:spacing w:after="100"/>
      </w:pPr>
      <w:r>
        <w:t xml:space="preserve">Handle every return and exchange consistently, protect the store from return fraud, and turn a potentially negative customer interaction into one that builds loyalty. This SOP covers eligibility verification, receipt and no-receipt returns, refund method determination, exchange processing, fraud red flags, restocking procedures, and inventory adjustment. The goal is that every customer gets a fair, fast resolution while the store retains control over shrinkage and fraud risk.</w:t>
      </w:r>
    </w:p>
    <w:p>
      <w:pPr>
        <w:pStyle w:val="Heading2"/>
        <w:spacing w:after="100" w:before="240"/>
      </w:pPr>
      <w:r>
        <w:t xml:space="preserve">Scope</w:t>
      </w:r>
    </w:p>
    <w:p>
      <w:pPr>
        <w:spacing w:after="100"/>
      </w:pPr>
      <w:r>
        <w:t xml:space="preserve">Covers in-store returns and exchanges for all merchandise purchased in-store or online (buy-online-return-in-store). Applies to all payment types: credit card, debit, cash, gift card, and store credit. Does not cover warranty claims handled by manufacturers, damaged-in-transit claims for shipped orders, or wholesale/B2B returns.</w:t>
      </w:r>
    </w:p>
    <w:p>
      <w:pPr>
        <w:pStyle w:val="Heading2"/>
        <w:spacing w:after="100" w:before="240"/>
      </w:pPr>
      <w:r>
        <w:t xml:space="preserve">Prerequisites</w:t>
      </w:r>
    </w:p>
    <w:p>
      <w:pPr>
        <w:pStyle w:val="ListParagraph"/>
        <w:numPr>
          <w:ilvl w:val="0"/>
          <w:numId w:val="1"/>
        </w:numPr>
        <w:spacing w:after="40"/>
      </w:pPr>
      <w:r>
        <w:t xml:space="preserve">Return policy clearly posted at the register, on receipts, and on the store website</w:t>
      </w:r>
    </w:p>
    <w:p>
      <w:pPr>
        <w:pStyle w:val="ListParagraph"/>
        <w:numPr>
          <w:ilvl w:val="0"/>
          <w:numId w:val="1"/>
        </w:numPr>
        <w:spacing w:after="40"/>
      </w:pPr>
      <w:r>
        <w:t xml:space="preserve">POS system configured with return authorization rules and refund method logic</w:t>
      </w:r>
    </w:p>
    <w:p>
      <w:pPr>
        <w:pStyle w:val="ListParagraph"/>
        <w:numPr>
          <w:ilvl w:val="0"/>
          <w:numId w:val="1"/>
        </w:numPr>
        <w:spacing w:after="40"/>
      </w:pPr>
      <w:r>
        <w:t xml:space="preserve">Return fraud alert list accessible to all cashiers (known serial returners, flagged IDs)</w:t>
      </w:r>
    </w:p>
    <w:p>
      <w:pPr>
        <w:pStyle w:val="ListParagraph"/>
        <w:numPr>
          <w:ilvl w:val="0"/>
          <w:numId w:val="1"/>
        </w:numPr>
        <w:spacing w:after="40"/>
      </w:pPr>
      <w:r>
        <w:t xml:space="preserve">Restocking area set up near the register for inspecting and staging returned items</w:t>
      </w:r>
    </w:p>
    <w:p>
      <w:pPr>
        <w:pStyle w:val="ListParagraph"/>
        <w:numPr>
          <w:ilvl w:val="0"/>
          <w:numId w:val="1"/>
        </w:numPr>
        <w:spacing w:after="40"/>
      </w:pPr>
      <w:r>
        <w:t xml:space="preserve">Associates trained on the return policy, including exceptions and escalation triggers</w:t>
      </w:r>
    </w:p>
    <w:p>
      <w:pPr>
        <w:pStyle w:val="Heading2"/>
        <w:spacing w:after="100" w:before="240"/>
      </w:pPr>
      <w:r>
        <w:t xml:space="preserve">Roles &amp; Responsibilities</w:t>
      </w:r>
    </w:p>
    <w:p>
      <w:pPr>
        <w:spacing w:after="40" w:before="120"/>
      </w:pPr>
      <w:r>
        <w:rPr>
          <w:b/>
          <w:bCs/>
        </w:rPr>
        <w:t xml:space="preserve">Store Manager</w:t>
      </w:r>
    </w:p>
    <w:p>
      <w:pPr>
        <w:pStyle w:val="ListParagraph"/>
        <w:numPr>
          <w:ilvl w:val="0"/>
          <w:numId w:val="1"/>
        </w:numPr>
        <w:spacing w:after="40"/>
      </w:pPr>
      <w:r>
        <w:t xml:space="preserve">Approve returns that exceed the associate's authorization limit</w:t>
      </w:r>
    </w:p>
    <w:p>
      <w:pPr>
        <w:pStyle w:val="ListParagraph"/>
        <w:numPr>
          <w:ilvl w:val="0"/>
          <w:numId w:val="1"/>
        </w:numPr>
        <w:spacing w:after="40"/>
      </w:pPr>
      <w:r>
        <w:t xml:space="preserve">Handle escalated return disputes with customers</w:t>
      </w:r>
    </w:p>
    <w:p>
      <w:pPr>
        <w:pStyle w:val="ListParagraph"/>
        <w:numPr>
          <w:ilvl w:val="0"/>
          <w:numId w:val="1"/>
        </w:numPr>
        <w:spacing w:after="40"/>
      </w:pPr>
      <w:r>
        <w:t xml:space="preserve">Review weekly return reports for fraud patterns and policy abuse</w:t>
      </w:r>
    </w:p>
    <w:p>
      <w:pPr>
        <w:spacing w:after="40" w:before="120"/>
      </w:pPr>
      <w:r>
        <w:rPr>
          <w:b/>
          <w:bCs/>
        </w:rPr>
        <w:t xml:space="preserve">Cashier / Sales Associate</w:t>
      </w:r>
    </w:p>
    <w:p>
      <w:pPr>
        <w:pStyle w:val="ListParagraph"/>
        <w:numPr>
          <w:ilvl w:val="0"/>
          <w:numId w:val="1"/>
        </w:numPr>
        <w:spacing w:after="40"/>
      </w:pPr>
      <w:r>
        <w:t xml:space="preserve">Process returns and exchanges at the register following the SOP</w:t>
      </w:r>
    </w:p>
    <w:p>
      <w:pPr>
        <w:pStyle w:val="ListParagraph"/>
        <w:numPr>
          <w:ilvl w:val="0"/>
          <w:numId w:val="1"/>
        </w:numPr>
        <w:spacing w:after="40"/>
      </w:pPr>
      <w:r>
        <w:t xml:space="preserve">Verify eligibility, inspect items, and determine the correct refund method</w:t>
      </w:r>
    </w:p>
    <w:p>
      <w:pPr>
        <w:pStyle w:val="ListParagraph"/>
        <w:numPr>
          <w:ilvl w:val="0"/>
          <w:numId w:val="1"/>
        </w:numPr>
        <w:spacing w:after="40"/>
      </w:pPr>
      <w:r>
        <w:t xml:space="preserve">Escalate to the manager for returns that fall outside standard policy</w:t>
      </w:r>
    </w:p>
    <w:p>
      <w:pPr>
        <w:spacing w:after="40" w:before="120"/>
      </w:pPr>
      <w:r>
        <w:rPr>
          <w:b/>
          <w:bCs/>
        </w:rPr>
        <w:t xml:space="preserve">Inventory Lead</w:t>
      </w:r>
    </w:p>
    <w:p>
      <w:pPr>
        <w:pStyle w:val="ListParagraph"/>
        <w:numPr>
          <w:ilvl w:val="0"/>
          <w:numId w:val="1"/>
        </w:numPr>
        <w:spacing w:after="40"/>
      </w:pPr>
      <w:r>
        <w:t xml:space="preserve">Inspect returned merchandise for damage or signs of wear</w:t>
      </w:r>
    </w:p>
    <w:p>
      <w:pPr>
        <w:pStyle w:val="ListParagraph"/>
        <w:numPr>
          <w:ilvl w:val="0"/>
          <w:numId w:val="1"/>
        </w:numPr>
        <w:spacing w:after="40"/>
      </w:pPr>
      <w:r>
        <w:t xml:space="preserve">Restock items that pass inspection to the correct sales floor location</w:t>
      </w:r>
    </w:p>
    <w:p>
      <w:pPr>
        <w:pStyle w:val="ListParagraph"/>
        <w:numPr>
          <w:ilvl w:val="0"/>
          <w:numId w:val="1"/>
        </w:numPr>
        <w:spacing w:after="40"/>
      </w:pPr>
      <w:r>
        <w:t xml:space="preserve">Process damaged or unsellable returns for markdown or disposal</w:t>
      </w:r>
    </w:p>
    <w:p>
      <w:pPr>
        <w:pStyle w:val="Heading2"/>
        <w:spacing w:after="100" w:before="240"/>
      </w:pPr>
      <w:r>
        <w:t xml:space="preserve">Procedure</w:t>
      </w:r>
    </w:p>
    <w:p>
      <w:pPr>
        <w:pStyle w:val="Heading3"/>
        <w:spacing w:after="40" w:before="160"/>
      </w:pPr>
      <w:r>
        <w:t xml:space="preserve">Step 1: Greet the customer and determine the return type</w:t>
      </w:r>
    </w:p>
    <w:p>
      <w:pPr>
        <w:spacing w:after="100"/>
      </w:pPr>
      <w:r>
        <w:t xml:space="preserve">When a customer approaches with a return, greet them and ask what they would like to do: return for refund, exchange for a different size/color, or exchange for a different item. Ask if they have the receipt or proof of purchase (email confirmation, credit card lookup). This initial conversation sets the tone — be friendly and helpful, not suspicious.</w:t>
      </w:r>
    </w:p>
    <w:p>
      <w:pPr>
        <w:pStyle w:val="ListParagraph"/>
        <w:numPr>
          <w:ilvl w:val="1"/>
          <w:numId w:val="1"/>
        </w:numPr>
        <w:spacing w:after="40"/>
      </w:pPr>
      <w:r>
        <w:t xml:space="preserve">Greet the customer and ask if they are looking for a return, exchange, or both</w:t>
      </w:r>
    </w:p>
    <w:p>
      <w:pPr>
        <w:pStyle w:val="ListParagraph"/>
        <w:numPr>
          <w:ilvl w:val="1"/>
          <w:numId w:val="1"/>
        </w:numPr>
        <w:spacing w:after="40"/>
      </w:pPr>
      <w:r>
        <w:t xml:space="preserve">Ask for the receipt, email confirmation, or original payment method for lookup</w:t>
      </w:r>
    </w:p>
    <w:p>
      <w:pPr>
        <w:pStyle w:val="ListParagraph"/>
        <w:numPr>
          <w:ilvl w:val="1"/>
          <w:numId w:val="1"/>
        </w:numPr>
        <w:spacing w:after="40"/>
      </w:pPr>
      <w:r>
        <w:t xml:space="preserve">If no receipt, check if the transaction can be found in the POS by date, card, or phone number</w:t>
      </w:r>
    </w:p>
    <w:p>
      <w:pPr>
        <w:pStyle w:val="ListParagraph"/>
        <w:numPr>
          <w:ilvl w:val="1"/>
          <w:numId w:val="1"/>
        </w:numPr>
        <w:spacing w:after="40"/>
      </w:pPr>
      <w:r>
        <w:t xml:space="preserve">Determine whether the item was purchased in-store or online</w:t>
      </w:r>
    </w:p>
    <w:p>
      <w:pPr>
        <w:pStyle w:val="Heading3"/>
        <w:spacing w:after="40" w:before="160"/>
      </w:pPr>
      <w:r>
        <w:t xml:space="preserve">Step 2: Verify return eligibility</w:t>
      </w:r>
    </w:p>
    <w:p>
      <w:pPr>
        <w:spacing w:after="100"/>
      </w:pPr>
      <w:r>
        <w:t xml:space="preserve">Check the item against the return policy: is it within the return window (typically 30-90 days)? Is it in the item categories eligible for return (some stores exclude final sale, swimwear, undergarments, or custom items)? Are the tags still attached if required? Look up the original transaction to confirm the purchase price and payment method.</w:t>
      </w:r>
    </w:p>
    <w:p>
      <w:pPr>
        <w:pStyle w:val="ListParagraph"/>
        <w:numPr>
          <w:ilvl w:val="1"/>
          <w:numId w:val="1"/>
        </w:numPr>
        <w:spacing w:after="40"/>
      </w:pPr>
      <w:r>
        <w:t xml:space="preserve">Confirm the purchase date falls within the return window</w:t>
      </w:r>
    </w:p>
    <w:p>
      <w:pPr>
        <w:pStyle w:val="ListParagraph"/>
        <w:numPr>
          <w:ilvl w:val="1"/>
          <w:numId w:val="1"/>
        </w:numPr>
        <w:spacing w:after="40"/>
      </w:pPr>
      <w:r>
        <w:t xml:space="preserve">Verify the item is in a returnable category (not final sale or excluded)</w:t>
      </w:r>
    </w:p>
    <w:p>
      <w:pPr>
        <w:pStyle w:val="ListParagraph"/>
        <w:numPr>
          <w:ilvl w:val="1"/>
          <w:numId w:val="1"/>
        </w:numPr>
        <w:spacing w:after="40"/>
      </w:pPr>
      <w:r>
        <w:t xml:space="preserve">Check that tags are attached if required by policy</w:t>
      </w:r>
    </w:p>
    <w:p>
      <w:pPr>
        <w:pStyle w:val="ListParagraph"/>
        <w:numPr>
          <w:ilvl w:val="1"/>
          <w:numId w:val="1"/>
        </w:numPr>
        <w:spacing w:after="40"/>
      </w:pPr>
      <w:r>
        <w:t xml:space="preserve">Look up the original transaction to confirm price paid and payment method</w:t>
      </w:r>
    </w:p>
    <w:p>
      <w:pPr>
        <w:pStyle w:val="ListParagraph"/>
        <w:numPr>
          <w:ilvl w:val="1"/>
          <w:numId w:val="1"/>
        </w:numPr>
        <w:spacing w:after="40"/>
      </w:pPr>
      <w:r>
        <w:t xml:space="preserve">If the item does not meet eligibility criteria, explain the reason clearly and offer alternatives (exchange, store credit if applicable)</w:t>
      </w:r>
    </w:p>
    <w:p>
      <w:pPr>
        <w:spacing w:after="100"/>
      </w:pPr>
      <w:r>
        <w:rPr>
          <w:i/>
          <w:iCs/>
          <w:color w:val="1F7A4D"/>
        </w:rPr>
        <w:t xml:space="preserve">Tip: Train associates to explain denials with empathy: 'Unfortunately this item is past our 30-day return window, but I can offer you a store credit.' Never just say 'no' without an alternative.</w:t>
      </w:r>
    </w:p>
    <w:p>
      <w:pPr>
        <w:pStyle w:val="Heading3"/>
        <w:spacing w:after="40" w:before="160"/>
      </w:pPr>
      <w:r>
        <w:t xml:space="preserve">Step 3: Inspect the returned merchandise</w:t>
      </w:r>
    </w:p>
    <w:p>
      <w:pPr>
        <w:spacing w:after="100"/>
      </w:pPr>
      <w:r>
        <w:t xml:space="preserve">Before processing the refund, inspect the item. Check for signs of wear, washing, damage, stains, missing components, or switched tags. Items must be in sellable condition for a full refund. If the item shows clear signs of use, follow your store's worn-item policy — some stores accept worn returns within a shorter window, others deny them.</w:t>
      </w:r>
    </w:p>
    <w:p>
      <w:pPr>
        <w:pStyle w:val="ListParagraph"/>
        <w:numPr>
          <w:ilvl w:val="1"/>
          <w:numId w:val="1"/>
        </w:numPr>
        <w:spacing w:after="40"/>
      </w:pPr>
      <w:r>
        <w:t xml:space="preserve">Visually inspect the item for stains, damage, odors, or signs of extended wear</w:t>
      </w:r>
    </w:p>
    <w:p>
      <w:pPr>
        <w:pStyle w:val="ListParagraph"/>
        <w:numPr>
          <w:ilvl w:val="1"/>
          <w:numId w:val="1"/>
        </w:numPr>
        <w:spacing w:after="40"/>
      </w:pPr>
      <w:r>
        <w:t xml:space="preserve">Check that all original components are present (accessories, packaging, manuals)</w:t>
      </w:r>
    </w:p>
    <w:p>
      <w:pPr>
        <w:pStyle w:val="ListParagraph"/>
        <w:numPr>
          <w:ilvl w:val="1"/>
          <w:numId w:val="1"/>
        </w:numPr>
        <w:spacing w:after="40"/>
      </w:pPr>
      <w:r>
        <w:t xml:space="preserve">Verify the tag matches the item (watch for tag switching fraud)</w:t>
      </w:r>
    </w:p>
    <w:p>
      <w:pPr>
        <w:pStyle w:val="ListParagraph"/>
        <w:numPr>
          <w:ilvl w:val="1"/>
          <w:numId w:val="1"/>
        </w:numPr>
        <w:spacing w:after="40"/>
      </w:pPr>
      <w:r>
        <w:t xml:space="preserve">If the item is not in sellable condition, explain the issue and offer the applicable resolution</w:t>
      </w:r>
    </w:p>
    <w:p>
      <w:pPr>
        <w:pStyle w:val="ListParagraph"/>
        <w:numPr>
          <w:ilvl w:val="1"/>
          <w:numId w:val="1"/>
        </w:numPr>
        <w:spacing w:after="40"/>
      </w:pPr>
      <w:r>
        <w:t xml:space="preserve">Set aside items that pass inspection for restocking</w:t>
      </w:r>
    </w:p>
    <w:p>
      <w:pPr>
        <w:spacing w:after="100"/>
      </w:pPr>
      <w:r>
        <w:rPr>
          <w:i/>
          <w:iCs/>
          <w:color w:val="B45309"/>
        </w:rPr>
        <w:t xml:space="preserve">Warning: Tag switching is one of the most common return fraud tactics. Always verify the tag matches the item — check the brand, size, and item description on the tag against the actual product.</w:t>
      </w:r>
    </w:p>
    <w:p>
      <w:pPr>
        <w:pStyle w:val="Heading3"/>
        <w:spacing w:after="40" w:before="160"/>
      </w:pPr>
      <w:r>
        <w:t xml:space="preserve">Step 4: Determine the refund method</w:t>
      </w:r>
    </w:p>
    <w:p>
      <w:pPr>
        <w:spacing w:after="100"/>
      </w:pPr>
      <w:r>
        <w:t xml:space="preserve">Refund to the original payment method whenever possible. Credit card purchases get refunded to the same card. Cash purchases get cash refunds (some stores cap cash refunds at a dollar threshold). No-receipt returns typically receive store credit at the lowest selling price. Gift card purchases get refunded to a gift card. Follow your POS system's logic — it should enforce these rules automatically.</w:t>
      </w:r>
    </w:p>
    <w:p>
      <w:pPr>
        <w:pStyle w:val="ListParagraph"/>
        <w:numPr>
          <w:ilvl w:val="1"/>
          <w:numId w:val="1"/>
        </w:numPr>
        <w:spacing w:after="40"/>
      </w:pPr>
      <w:r>
        <w:t xml:space="preserve">Card payment: refund to the original card (customer must present the same card)</w:t>
      </w:r>
    </w:p>
    <w:p>
      <w:pPr>
        <w:pStyle w:val="ListParagraph"/>
        <w:numPr>
          <w:ilvl w:val="1"/>
          <w:numId w:val="1"/>
        </w:numPr>
        <w:spacing w:after="40"/>
      </w:pPr>
      <w:r>
        <w:t xml:space="preserve">Cash payment: issue a cash refund if under the cash refund limit, otherwise store credit</w:t>
      </w:r>
    </w:p>
    <w:p>
      <w:pPr>
        <w:pStyle w:val="ListParagraph"/>
        <w:numPr>
          <w:ilvl w:val="1"/>
          <w:numId w:val="1"/>
        </w:numPr>
        <w:spacing w:after="40"/>
      </w:pPr>
      <w:r>
        <w:t xml:space="preserve">Gift card payment: issue a new gift card for the refund amount</w:t>
      </w:r>
    </w:p>
    <w:p>
      <w:pPr>
        <w:pStyle w:val="ListParagraph"/>
        <w:numPr>
          <w:ilvl w:val="1"/>
          <w:numId w:val="1"/>
        </w:numPr>
        <w:spacing w:after="40"/>
      </w:pPr>
      <w:r>
        <w:t xml:space="preserve">No-receipt return: issue store credit at the current or lowest selling price</w:t>
      </w:r>
    </w:p>
    <w:p>
      <w:pPr>
        <w:pStyle w:val="ListParagraph"/>
        <w:numPr>
          <w:ilvl w:val="1"/>
          <w:numId w:val="1"/>
        </w:numPr>
        <w:spacing w:after="40"/>
      </w:pPr>
      <w:r>
        <w:t xml:space="preserve">Process the refund in the POS and print the return receipt</w:t>
      </w:r>
    </w:p>
    <w:p>
      <w:pPr>
        <w:pStyle w:val="Heading3"/>
        <w:spacing w:after="40" w:before="160"/>
      </w:pPr>
      <w:r>
        <w:t xml:space="preserve">Step 5: Process an exchange if applicable</w:t>
      </w:r>
    </w:p>
    <w:p>
      <w:pPr>
        <w:spacing w:after="100"/>
      </w:pPr>
      <w:r>
        <w:t xml:space="preserve">If the customer wants to exchange for a different size, color, or item, process it as a return and a new sale in a single transaction. Refund the original item and ring up the new item. If the new item costs more, the customer pays the difference. If the new item costs less, refund the difference per the refund method rules. This keeps inventory counts accurate for both SKUs.</w:t>
      </w:r>
    </w:p>
    <w:p>
      <w:pPr>
        <w:pStyle w:val="ListParagraph"/>
        <w:numPr>
          <w:ilvl w:val="1"/>
          <w:numId w:val="1"/>
        </w:numPr>
        <w:spacing w:after="40"/>
      </w:pPr>
      <w:r>
        <w:t xml:space="preserve">Process the return of the original item first</w:t>
      </w:r>
    </w:p>
    <w:p>
      <w:pPr>
        <w:pStyle w:val="ListParagraph"/>
        <w:numPr>
          <w:ilvl w:val="1"/>
          <w:numId w:val="1"/>
        </w:numPr>
        <w:spacing w:after="40"/>
      </w:pPr>
      <w:r>
        <w:t xml:space="preserve">Ring up the new item as a new sale in the same transaction</w:t>
      </w:r>
    </w:p>
    <w:p>
      <w:pPr>
        <w:pStyle w:val="ListParagraph"/>
        <w:numPr>
          <w:ilvl w:val="1"/>
          <w:numId w:val="1"/>
        </w:numPr>
        <w:spacing w:after="40"/>
      </w:pPr>
      <w:r>
        <w:t xml:space="preserve">Collect additional payment if the new item costs more</w:t>
      </w:r>
    </w:p>
    <w:p>
      <w:pPr>
        <w:pStyle w:val="ListParagraph"/>
        <w:numPr>
          <w:ilvl w:val="1"/>
          <w:numId w:val="1"/>
        </w:numPr>
        <w:spacing w:after="40"/>
      </w:pPr>
      <w:r>
        <w:t xml:space="preserve">Refund the difference if the new item costs less</w:t>
      </w:r>
    </w:p>
    <w:p>
      <w:pPr>
        <w:pStyle w:val="ListParagraph"/>
        <w:numPr>
          <w:ilvl w:val="1"/>
          <w:numId w:val="1"/>
        </w:numPr>
        <w:spacing w:after="40"/>
      </w:pPr>
      <w:r>
        <w:t xml:space="preserve">Hand the customer one receipt showing both the return and new purchase</w:t>
      </w:r>
    </w:p>
    <w:p>
      <w:pPr>
        <w:pStyle w:val="Heading3"/>
        <w:spacing w:after="40" w:before="160"/>
      </w:pPr>
      <w:r>
        <w:t xml:space="preserve">Step 6: Watch for return fraud red flags</w:t>
      </w:r>
    </w:p>
    <w:p>
      <w:pPr>
        <w:spacing w:after="100"/>
      </w:pPr>
      <w:r>
        <w:t xml:space="preserve">Train every associate to recognize common return fraud patterns: returning stolen merchandise (no receipt, high-value items, bulk returns), wardrobing (wearing and returning items), tag switching (cheap tag on an expensive item), and receipt fraud (counterfeit or altered receipts). When a red flag appears, do not accuse the customer — follow the escalation procedure.</w:t>
      </w:r>
    </w:p>
    <w:p>
      <w:pPr>
        <w:pStyle w:val="ListParagraph"/>
        <w:numPr>
          <w:ilvl w:val="1"/>
          <w:numId w:val="1"/>
        </w:numPr>
        <w:spacing w:after="40"/>
      </w:pPr>
      <w:r>
        <w:t xml:space="preserve">Check the return fraud alert list for the customer's name or ID</w:t>
      </w:r>
    </w:p>
    <w:p>
      <w:pPr>
        <w:pStyle w:val="ListParagraph"/>
        <w:numPr>
          <w:ilvl w:val="1"/>
          <w:numId w:val="1"/>
        </w:numPr>
        <w:spacing w:after="40"/>
      </w:pPr>
      <w:r>
        <w:t xml:space="preserve">Watch for multiple no-receipt returns from the same person in a short period</w:t>
      </w:r>
    </w:p>
    <w:p>
      <w:pPr>
        <w:pStyle w:val="ListParagraph"/>
        <w:numPr>
          <w:ilvl w:val="1"/>
          <w:numId w:val="1"/>
        </w:numPr>
        <w:spacing w:after="40"/>
      </w:pPr>
      <w:r>
        <w:t xml:space="preserve">Check for signs of wardrobing: deodorant stains, perfume smell, wrinkled tags</w:t>
      </w:r>
    </w:p>
    <w:p>
      <w:pPr>
        <w:pStyle w:val="ListParagraph"/>
        <w:numPr>
          <w:ilvl w:val="1"/>
          <w:numId w:val="1"/>
        </w:numPr>
        <w:spacing w:after="40"/>
      </w:pPr>
      <w:r>
        <w:t xml:space="preserve">Verify tag authenticity and match to the item</w:t>
      </w:r>
    </w:p>
    <w:p>
      <w:pPr>
        <w:pStyle w:val="ListParagraph"/>
        <w:numPr>
          <w:ilvl w:val="1"/>
          <w:numId w:val="1"/>
        </w:numPr>
        <w:spacing w:after="40"/>
      </w:pPr>
      <w:r>
        <w:t xml:space="preserve">If a red flag is present, politely escalate to the manager — do not confront the customer</w:t>
      </w:r>
    </w:p>
    <w:p>
      <w:pPr>
        <w:pStyle w:val="Heading3"/>
        <w:spacing w:after="40" w:before="160"/>
      </w:pPr>
      <w:r>
        <w:t xml:space="preserve">Step 7: Restock or disposition the returned item</w:t>
      </w:r>
    </w:p>
    <w:p>
      <w:pPr>
        <w:spacing w:after="100"/>
      </w:pPr>
      <w:r>
        <w:t xml:space="preserve">After the return is processed, the inventory lead inspects the item one more time and decides: restock to the sales floor, mark down as open-box or damaged, or dispose. Items in sellable condition go back to the correct location on the sales floor immediately. Damaged items go to the markdown rack or are logged for disposal. Update the POS inventory status accordingly.</w:t>
      </w:r>
    </w:p>
    <w:p>
      <w:pPr>
        <w:pStyle w:val="ListParagraph"/>
        <w:numPr>
          <w:ilvl w:val="1"/>
          <w:numId w:val="1"/>
        </w:numPr>
        <w:spacing w:after="40"/>
      </w:pPr>
      <w:r>
        <w:t xml:space="preserve">Final inspection: confirm the item is in sellable condition</w:t>
      </w:r>
    </w:p>
    <w:p>
      <w:pPr>
        <w:pStyle w:val="ListParagraph"/>
        <w:numPr>
          <w:ilvl w:val="1"/>
          <w:numId w:val="1"/>
        </w:numPr>
        <w:spacing w:after="40"/>
      </w:pPr>
      <w:r>
        <w:t xml:space="preserve">If sellable: restock to the correct sales floor location within the same shift</w:t>
      </w:r>
    </w:p>
    <w:p>
      <w:pPr>
        <w:pStyle w:val="ListParagraph"/>
        <w:numPr>
          <w:ilvl w:val="1"/>
          <w:numId w:val="1"/>
        </w:numPr>
        <w:spacing w:after="40"/>
      </w:pPr>
      <w:r>
        <w:t xml:space="preserve">If damaged but sellable at discount: move to the markdown rack and adjust the POS price</w:t>
      </w:r>
    </w:p>
    <w:p>
      <w:pPr>
        <w:pStyle w:val="ListParagraph"/>
        <w:numPr>
          <w:ilvl w:val="1"/>
          <w:numId w:val="1"/>
        </w:numPr>
        <w:spacing w:after="40"/>
      </w:pPr>
      <w:r>
        <w:t xml:space="preserve">If unsellable: log for disposal and remove from POS inventory</w:t>
      </w:r>
    </w:p>
    <w:p>
      <w:pPr>
        <w:pStyle w:val="ListParagraph"/>
        <w:numPr>
          <w:ilvl w:val="1"/>
          <w:numId w:val="1"/>
        </w:numPr>
        <w:spacing w:after="40"/>
      </w:pPr>
      <w:r>
        <w:t xml:space="preserve">Update the POS inventory count to reflect the item's disposition</w:t>
      </w:r>
    </w:p>
    <w:p>
      <w:pPr>
        <w:pStyle w:val="Heading2"/>
        <w:spacing w:after="100" w:before="240"/>
      </w:pPr>
      <w:r>
        <w:t xml:space="preserve">Completion Checklist</w:t>
      </w:r>
    </w:p>
    <w:p>
      <w:pPr>
        <w:spacing w:after="40"/>
      </w:pPr>
      <w:r>
        <w:t xml:space="preserve">☐  Return policy posted at the register, on receipts, and online</w:t>
      </w:r>
    </w:p>
    <w:p>
      <w:pPr>
        <w:spacing w:after="40"/>
      </w:pPr>
      <w:r>
        <w:t xml:space="preserve">☐  Customer greeted and return type determined (refund vs. exchange)</w:t>
      </w:r>
    </w:p>
    <w:p>
      <w:pPr>
        <w:spacing w:after="40"/>
      </w:pPr>
      <w:r>
        <w:t xml:space="preserve">☐  Return eligibility verified: timeframe, category, tags, receipt</w:t>
      </w:r>
    </w:p>
    <w:p>
      <w:pPr>
        <w:spacing w:after="40"/>
      </w:pPr>
      <w:r>
        <w:t xml:space="preserve">☐  Item inspected for wear, damage, and tag authenticity</w:t>
      </w:r>
    </w:p>
    <w:p>
      <w:pPr>
        <w:spacing w:after="40"/>
      </w:pPr>
      <w:r>
        <w:t xml:space="preserve">☐  Refund method determined per policy (original payment, store credit, gift card)</w:t>
      </w:r>
    </w:p>
    <w:p>
      <w:pPr>
        <w:spacing w:after="40"/>
      </w:pPr>
      <w:r>
        <w:t xml:space="preserve">☐  Exchange processed as return + new sale in one transaction if applicable</w:t>
      </w:r>
    </w:p>
    <w:p>
      <w:pPr>
        <w:spacing w:after="40"/>
      </w:pPr>
      <w:r>
        <w:t xml:space="preserve">☐  Return fraud red flags checked (fraud alert list, wardrobing signs, tag switching)</w:t>
      </w:r>
    </w:p>
    <w:p>
      <w:pPr>
        <w:spacing w:after="40"/>
      </w:pPr>
      <w:r>
        <w:t xml:space="preserve">☐  Manager approval obtained for returns above authorization limit</w:t>
      </w:r>
    </w:p>
    <w:p>
      <w:pPr>
        <w:spacing w:after="40"/>
      </w:pPr>
      <w:r>
        <w:t xml:space="preserve">☐  Return receipt printed and handed to the customer</w:t>
      </w:r>
    </w:p>
    <w:p>
      <w:pPr>
        <w:spacing w:after="40"/>
      </w:pPr>
      <w:r>
        <w:t xml:space="preserve">☐  Returned item restocked, marked down, or disposed within the same shift</w:t>
      </w:r>
    </w:p>
    <w:p>
      <w:pPr>
        <w:spacing w:after="40"/>
      </w:pPr>
      <w:r>
        <w:t xml:space="preserve">☐  POS inventory updated to reflect the return and disposition</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Return processing time</w:t>
            </w:r>
          </w:p>
        </w:tc>
        <w:tc>
          <w:tcPr>
            <w:tcMar>
              <w:top w:type="dxa" w:w="60"/>
              <w:left w:type="dxa" w:w="120"/>
              <w:bottom w:type="dxa" w:w="60"/>
              <w:right w:type="dxa" w:w="120"/>
            </w:tcMar>
          </w:tcPr>
          <w:p>
            <w:r>
              <w:rPr>
                <w:b w:val="false"/>
                <w:bCs w:val="false"/>
              </w:rPr>
              <w:t xml:space="preserve">Under 3 minutes for a standard return with receipt</w:t>
            </w:r>
          </w:p>
        </w:tc>
      </w:tr>
      <w:tr>
        <w:trPr>
          <w:tblHeader w:val="false"/>
        </w:trPr>
        <w:tc>
          <w:tcPr>
            <w:tcMar>
              <w:top w:type="dxa" w:w="60"/>
              <w:left w:type="dxa" w:w="120"/>
              <w:bottom w:type="dxa" w:w="60"/>
              <w:right w:type="dxa" w:w="120"/>
            </w:tcMar>
          </w:tcPr>
          <w:p>
            <w:r>
              <w:rPr>
                <w:b w:val="false"/>
                <w:bCs w:val="false"/>
              </w:rPr>
              <w:t xml:space="preserve">Return rate as percentage of sales</w:t>
            </w:r>
          </w:p>
        </w:tc>
        <w:tc>
          <w:tcPr>
            <w:tcMar>
              <w:top w:type="dxa" w:w="60"/>
              <w:left w:type="dxa" w:w="120"/>
              <w:bottom w:type="dxa" w:w="60"/>
              <w:right w:type="dxa" w:w="120"/>
            </w:tcMar>
          </w:tcPr>
          <w:p>
            <w:r>
              <w:rPr>
                <w:b w:val="false"/>
                <w:bCs w:val="false"/>
              </w:rPr>
              <w:t xml:space="preserve">Under 10% (varies by category — apparel is higher)</w:t>
            </w:r>
          </w:p>
        </w:tc>
      </w:tr>
      <w:tr>
        <w:trPr>
          <w:tblHeader w:val="false"/>
        </w:trPr>
        <w:tc>
          <w:tcPr>
            <w:tcMar>
              <w:top w:type="dxa" w:w="60"/>
              <w:left w:type="dxa" w:w="120"/>
              <w:bottom w:type="dxa" w:w="60"/>
              <w:right w:type="dxa" w:w="120"/>
            </w:tcMar>
          </w:tcPr>
          <w:p>
            <w:r>
              <w:rPr>
                <w:b w:val="false"/>
                <w:bCs w:val="false"/>
              </w:rPr>
              <w:t xml:space="preserve">Fraudulent return prevention rate</w:t>
            </w:r>
          </w:p>
        </w:tc>
        <w:tc>
          <w:tcPr>
            <w:tcMar>
              <w:top w:type="dxa" w:w="60"/>
              <w:left w:type="dxa" w:w="120"/>
              <w:bottom w:type="dxa" w:w="60"/>
              <w:right w:type="dxa" w:w="120"/>
            </w:tcMar>
          </w:tcPr>
          <w:p>
            <w:r>
              <w:rPr>
                <w:b w:val="false"/>
                <w:bCs w:val="false"/>
              </w:rPr>
              <w:t xml:space="preserve">Zero accepted returns flagged as fraud on post-review</w:t>
            </w:r>
          </w:p>
        </w:tc>
      </w:tr>
      <w:tr>
        <w:trPr>
          <w:tblHeader w:val="false"/>
        </w:trPr>
        <w:tc>
          <w:tcPr>
            <w:tcMar>
              <w:top w:type="dxa" w:w="60"/>
              <w:left w:type="dxa" w:w="120"/>
              <w:bottom w:type="dxa" w:w="60"/>
              <w:right w:type="dxa" w:w="120"/>
            </w:tcMar>
          </w:tcPr>
          <w:p>
            <w:r>
              <w:rPr>
                <w:b w:val="false"/>
                <w:bCs w:val="false"/>
              </w:rPr>
              <w:t xml:space="preserve">Restock turnaround</w:t>
            </w:r>
          </w:p>
        </w:tc>
        <w:tc>
          <w:tcPr>
            <w:tcMar>
              <w:top w:type="dxa" w:w="60"/>
              <w:left w:type="dxa" w:w="120"/>
              <w:bottom w:type="dxa" w:w="60"/>
              <w:right w:type="dxa" w:w="120"/>
            </w:tcMar>
          </w:tcPr>
          <w:p>
            <w:r>
              <w:rPr>
                <w:b w:val="false"/>
                <w:bCs w:val="false"/>
              </w:rPr>
              <w:t xml:space="preserve">Returned items back on the floor within the same shift</w:t>
            </w:r>
          </w:p>
        </w:tc>
      </w:tr>
    </w:tbl>
    <w:p>
      <w:pPr>
        <w:pStyle w:val="Heading2"/>
        <w:spacing w:after="100" w:before="240"/>
      </w:pPr>
      <w:r>
        <w:t xml:space="preserve">Revision Schedule</w:t>
      </w:r>
    </w:p>
    <w:p>
      <w:pPr>
        <w:spacing w:after="100"/>
      </w:pPr>
      <w:r>
        <w:t xml:space="preserve">Quarterly, or immediately after any return policy change, POS system update, or increase in return fraud incidents.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Returns Processing SOP Template for Retail Teams</dc:title>
  <dc:creator>Glyde</dc:creator>
  <dc:description>Free returns processing SOP template for retail stores. Covers return eligibility, refund methods, exchange handling, fraud prevention, and restocking procedures.</dc:description>
  <cp:lastModifiedBy>Un-named</cp:lastModifiedBy>
  <cp:revision>1</cp:revision>
  <dcterms:created xsi:type="dcterms:W3CDTF">2026-07-22T08:34:36.195Z</dcterms:created>
  <dcterms:modified xsi:type="dcterms:W3CDTF">2026-07-22T08:34:36.195Z</dcterms:modified>
</cp:coreProperties>
</file>

<file path=docProps/custom.xml><?xml version="1.0" encoding="utf-8"?>
<Properties xmlns="http://schemas.openxmlformats.org/officeDocument/2006/custom-properties" xmlns:vt="http://schemas.openxmlformats.org/officeDocument/2006/docPropsVTypes"/>
</file>