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Safety Inspection SOP Template for Manufacturing Teams</w:t>
      </w:r>
    </w:p>
    <w:p>
      <w:pPr>
        <w:spacing w:after="200"/>
      </w:pPr>
      <w:r>
        <w:rPr>
          <w:i/>
          <w:iCs/>
          <w:color w:val="6B7280"/>
        </w:rPr>
        <w:t xml:space="preserve">Free safety inspection SOP template for manufacturing facilities. Covers OSHA walkthroughs, lockout/tagout verification, PPE compliance, and near-miss reporting.</w:t>
      </w:r>
    </w:p>
    <w:p>
      <w:pPr>
        <w:pStyle w:val="Heading2"/>
        <w:spacing w:after="100" w:before="240"/>
      </w:pPr>
      <w:r>
        <w:t xml:space="preserve">Purpose</w:t>
      </w:r>
    </w:p>
    <w:p>
      <w:pPr>
        <w:spacing w:after="100"/>
      </w:pPr>
      <w:r>
        <w:t xml:space="preserve">Establish a consistent safety inspection process across all shifts and production areas. This SOP ensures OSHA compliance, catches hazards before they cause injuries, and creates the documentation trail needed to defend against citations during OSHA inspections.</w:t>
      </w:r>
    </w:p>
    <w:p>
      <w:pPr>
        <w:pStyle w:val="Heading2"/>
        <w:spacing w:after="100" w:before="240"/>
      </w:pPr>
      <w:r>
        <w:t xml:space="preserve">Scope</w:t>
      </w:r>
    </w:p>
    <w:p>
      <w:pPr>
        <w:spacing w:after="100"/>
      </w:pPr>
      <w:r>
        <w:t xml:space="preserve">Covers daily safety walkthroughs, weekly focused inspections (lockout/tagout, PPE, machine guarding), monthly full-scope audits, and near-miss/incident reporting. Does not cover emergency response procedures or fire evacuation drills, which have separate SOPs.</w:t>
      </w:r>
    </w:p>
    <w:p>
      <w:pPr>
        <w:pStyle w:val="Heading2"/>
        <w:spacing w:after="100" w:before="240"/>
      </w:pPr>
      <w:r>
        <w:t xml:space="preserve">Prerequisites</w:t>
      </w:r>
    </w:p>
    <w:p>
      <w:pPr>
        <w:pStyle w:val="ListParagraph"/>
        <w:numPr>
          <w:ilvl w:val="0"/>
          <w:numId w:val="1"/>
        </w:numPr>
        <w:spacing w:after="40"/>
      </w:pPr>
      <w:r>
        <w:t xml:space="preserve">Safety inspection checklists printed or loaded on tablets for each production area</w:t>
      </w:r>
    </w:p>
    <w:p>
      <w:pPr>
        <w:pStyle w:val="ListParagraph"/>
        <w:numPr>
          <w:ilvl w:val="0"/>
          <w:numId w:val="1"/>
        </w:numPr>
        <w:spacing w:after="40"/>
      </w:pPr>
      <w:r>
        <w:t xml:space="preserve">Current OSHA 300 log posted and accessible in the safety office</w:t>
      </w:r>
    </w:p>
    <w:p>
      <w:pPr>
        <w:pStyle w:val="ListParagraph"/>
        <w:numPr>
          <w:ilvl w:val="0"/>
          <w:numId w:val="1"/>
        </w:numPr>
        <w:spacing w:after="40"/>
      </w:pPr>
      <w:r>
        <w:t xml:space="preserve">Lockout/tagout energy control procedures documented for every machine</w:t>
      </w:r>
    </w:p>
    <w:p>
      <w:pPr>
        <w:pStyle w:val="ListParagraph"/>
        <w:numPr>
          <w:ilvl w:val="0"/>
          <w:numId w:val="1"/>
        </w:numPr>
        <w:spacing w:after="40"/>
      </w:pPr>
      <w:r>
        <w:t xml:space="preserve">PPE inventory stocked: hard hats, safety glasses, steel-toe boots, hearing protection, cut-resistant gloves</w:t>
      </w:r>
    </w:p>
    <w:p>
      <w:pPr>
        <w:pStyle w:val="ListParagraph"/>
        <w:numPr>
          <w:ilvl w:val="0"/>
          <w:numId w:val="1"/>
        </w:numPr>
        <w:spacing w:after="40"/>
      </w:pPr>
      <w:r>
        <w:t xml:space="preserve">Near-miss reporting forms available at every workstation (paper or digital via MES)</w:t>
      </w:r>
    </w:p>
    <w:p>
      <w:pPr>
        <w:pStyle w:val="Heading2"/>
        <w:spacing w:after="100" w:before="240"/>
      </w:pPr>
      <w:r>
        <w:t xml:space="preserve">Roles &amp; Responsibilities</w:t>
      </w:r>
    </w:p>
    <w:p>
      <w:pPr>
        <w:spacing w:after="40" w:before="120"/>
      </w:pPr>
      <w:r>
        <w:rPr>
          <w:b/>
          <w:bCs/>
        </w:rPr>
        <w:t xml:space="preserve">Safety Officer</w:t>
      </w:r>
    </w:p>
    <w:p>
      <w:pPr>
        <w:pStyle w:val="ListParagraph"/>
        <w:numPr>
          <w:ilvl w:val="0"/>
          <w:numId w:val="1"/>
        </w:numPr>
        <w:spacing w:after="40"/>
      </w:pPr>
      <w:r>
        <w:t xml:space="preserve">Conduct weekly focused inspections and monthly full-scope safety audits</w:t>
      </w:r>
    </w:p>
    <w:p>
      <w:pPr>
        <w:pStyle w:val="ListParagraph"/>
        <w:numPr>
          <w:ilvl w:val="0"/>
          <w:numId w:val="1"/>
        </w:numPr>
        <w:spacing w:after="40"/>
      </w:pPr>
      <w:r>
        <w:t xml:space="preserve">Investigate all near-miss reports and recordable incidents within 24 hours</w:t>
      </w:r>
    </w:p>
    <w:p>
      <w:pPr>
        <w:pStyle w:val="ListParagraph"/>
        <w:numPr>
          <w:ilvl w:val="0"/>
          <w:numId w:val="1"/>
        </w:numPr>
        <w:spacing w:after="40"/>
      </w:pPr>
      <w:r>
        <w:t xml:space="preserve">Maintain the OSHA 300 log and submit the 300A annual summary by February 1</w:t>
      </w:r>
    </w:p>
    <w:p>
      <w:pPr>
        <w:spacing w:after="40" w:before="120"/>
      </w:pPr>
      <w:r>
        <w:rPr>
          <w:b/>
          <w:bCs/>
        </w:rPr>
        <w:t xml:space="preserve">Production Supervisor</w:t>
      </w:r>
    </w:p>
    <w:p>
      <w:pPr>
        <w:pStyle w:val="ListParagraph"/>
        <w:numPr>
          <w:ilvl w:val="0"/>
          <w:numId w:val="1"/>
        </w:numPr>
        <w:spacing w:after="40"/>
      </w:pPr>
      <w:r>
        <w:t xml:space="preserve">Perform daily safety walkthroughs at the start of each shift</w:t>
      </w:r>
    </w:p>
    <w:p>
      <w:pPr>
        <w:pStyle w:val="ListParagraph"/>
        <w:numPr>
          <w:ilvl w:val="0"/>
          <w:numId w:val="1"/>
        </w:numPr>
        <w:spacing w:after="40"/>
      </w:pPr>
      <w:r>
        <w:t xml:space="preserve">Verify lockout/tagout procedures are followed before any maintenance task</w:t>
      </w:r>
    </w:p>
    <w:p>
      <w:pPr>
        <w:pStyle w:val="ListParagraph"/>
        <w:numPr>
          <w:ilvl w:val="0"/>
          <w:numId w:val="1"/>
        </w:numPr>
        <w:spacing w:after="40"/>
      </w:pPr>
      <w:r>
        <w:t xml:space="preserve">Ensure all operators on their shift are wearing required PPE</w:t>
      </w:r>
    </w:p>
    <w:p>
      <w:pPr>
        <w:spacing w:after="40" w:before="120"/>
      </w:pPr>
      <w:r>
        <w:rPr>
          <w:b/>
          <w:bCs/>
        </w:rPr>
        <w:t xml:space="preserve">Maintenance Lead</w:t>
      </w:r>
    </w:p>
    <w:p>
      <w:pPr>
        <w:pStyle w:val="ListParagraph"/>
        <w:numPr>
          <w:ilvl w:val="0"/>
          <w:numId w:val="1"/>
        </w:numPr>
        <w:spacing w:after="40"/>
      </w:pPr>
      <w:r>
        <w:t xml:space="preserve">Verify that machine guards are reinstalled after every maintenance job</w:t>
      </w:r>
    </w:p>
    <w:p>
      <w:pPr>
        <w:pStyle w:val="ListParagraph"/>
        <w:numPr>
          <w:ilvl w:val="0"/>
          <w:numId w:val="1"/>
        </w:numPr>
        <w:spacing w:after="40"/>
      </w:pPr>
      <w:r>
        <w:t xml:space="preserve">Keep lockout/tagout devices inventoried and in working condition</w:t>
      </w:r>
    </w:p>
    <w:p>
      <w:pPr>
        <w:pStyle w:val="ListParagraph"/>
        <w:numPr>
          <w:ilvl w:val="0"/>
          <w:numId w:val="1"/>
        </w:numPr>
        <w:spacing w:after="40"/>
      </w:pPr>
      <w:r>
        <w:t xml:space="preserve">Report any equipment safety deficiency to the safety officer within the same shift</w:t>
      </w:r>
    </w:p>
    <w:p>
      <w:pPr>
        <w:pStyle w:val="Heading2"/>
        <w:spacing w:after="100" w:before="240"/>
      </w:pPr>
      <w:r>
        <w:t xml:space="preserve">Procedure</w:t>
      </w:r>
    </w:p>
    <w:p>
      <w:pPr>
        <w:pStyle w:val="Heading3"/>
        <w:spacing w:after="40" w:before="160"/>
      </w:pPr>
      <w:r>
        <w:t xml:space="preserve">Step 1: Conduct the daily shift-start safety walkthrough</w:t>
      </w:r>
    </w:p>
    <w:p>
      <w:pPr>
        <w:spacing w:after="100"/>
      </w:pPr>
      <w:r>
        <w:t xml:space="preserve">At the beginning of every shift, the production supervisor walks the entire production floor. Check that all machine guards are in place, emergency stops are unobstructed, aisle markings are visible, and no slip/trip hazards exist. This takes 15-20 minutes and must happen before production starts.</w:t>
      </w:r>
    </w:p>
    <w:p>
      <w:pPr>
        <w:pStyle w:val="ListParagraph"/>
        <w:numPr>
          <w:ilvl w:val="1"/>
          <w:numId w:val="1"/>
        </w:numPr>
        <w:spacing w:after="40"/>
      </w:pPr>
      <w:r>
        <w:t xml:space="preserve">Walk each production line and visually check machine guards are installed and secured</w:t>
      </w:r>
    </w:p>
    <w:p>
      <w:pPr>
        <w:pStyle w:val="ListParagraph"/>
        <w:numPr>
          <w:ilvl w:val="1"/>
          <w:numId w:val="1"/>
        </w:numPr>
        <w:spacing w:after="40"/>
      </w:pPr>
      <w:r>
        <w:t xml:space="preserve">Verify all emergency stop buttons are unobstructed and have not been taped over</w:t>
      </w:r>
    </w:p>
    <w:p>
      <w:pPr>
        <w:pStyle w:val="ListParagraph"/>
        <w:numPr>
          <w:ilvl w:val="1"/>
          <w:numId w:val="1"/>
        </w:numPr>
        <w:spacing w:after="40"/>
      </w:pPr>
      <w:r>
        <w:t xml:space="preserve">Check that aisle markings and pedestrian walkways are clear of material or equipment</w:t>
      </w:r>
    </w:p>
    <w:p>
      <w:pPr>
        <w:pStyle w:val="ListParagraph"/>
        <w:numPr>
          <w:ilvl w:val="1"/>
          <w:numId w:val="1"/>
        </w:numPr>
        <w:spacing w:after="40"/>
      </w:pPr>
      <w:r>
        <w:t xml:space="preserve">Inspect the floor for spills, oil leaks, or debris that create slip hazards</w:t>
      </w:r>
    </w:p>
    <w:p>
      <w:pPr>
        <w:pStyle w:val="ListParagraph"/>
        <w:numPr>
          <w:ilvl w:val="1"/>
          <w:numId w:val="1"/>
        </w:numPr>
        <w:spacing w:after="40"/>
      </w:pPr>
      <w:r>
        <w:t xml:space="preserve">Confirm fire extinguishers are in place, undamaged, and have current inspection tags</w:t>
      </w:r>
    </w:p>
    <w:p>
      <w:pPr>
        <w:spacing w:after="100"/>
      </w:pPr>
      <w:r>
        <w:rPr>
          <w:i/>
          <w:iCs/>
          <w:color w:val="1F7A4D"/>
        </w:rPr>
        <w:t xml:space="preserve">Tip: Take the same route every day so it becomes muscle memory. Rotate the direction once a month to catch things you've stopped seeing.</w:t>
      </w:r>
    </w:p>
    <w:p>
      <w:pPr>
        <w:pStyle w:val="Heading3"/>
        <w:spacing w:after="40" w:before="160"/>
      </w:pPr>
      <w:r>
        <w:t xml:space="preserve">Step 2: Verify PPE compliance across all operators</w:t>
      </w:r>
    </w:p>
    <w:p>
      <w:pPr>
        <w:spacing w:after="100"/>
      </w:pPr>
      <w:r>
        <w:t xml:space="preserve">During the daily walkthrough, check that every operator is wearing the PPE required for their workstation. The PPE matrix (posted at each station) defines what's required: safety glasses, hearing protection, gloves, steel-toe boots, and any area-specific equipment like face shields or respirators.</w:t>
      </w:r>
    </w:p>
    <w:p>
      <w:pPr>
        <w:pStyle w:val="ListParagraph"/>
        <w:numPr>
          <w:ilvl w:val="1"/>
          <w:numId w:val="1"/>
        </w:numPr>
        <w:spacing w:after="40"/>
      </w:pPr>
      <w:r>
        <w:t xml:space="preserve">Check each operator against the PPE matrix posted at their workstation</w:t>
      </w:r>
    </w:p>
    <w:p>
      <w:pPr>
        <w:pStyle w:val="ListParagraph"/>
        <w:numPr>
          <w:ilvl w:val="1"/>
          <w:numId w:val="1"/>
        </w:numPr>
        <w:spacing w:after="40"/>
      </w:pPr>
      <w:r>
        <w:t xml:space="preserve">Verify safety glasses are ANSI Z87.1 rated (look for the marking on the lens or frame)</w:t>
      </w:r>
    </w:p>
    <w:p>
      <w:pPr>
        <w:pStyle w:val="ListParagraph"/>
        <w:numPr>
          <w:ilvl w:val="1"/>
          <w:numId w:val="1"/>
        </w:numPr>
        <w:spacing w:after="40"/>
      </w:pPr>
      <w:r>
        <w:t xml:space="preserve">Confirm hearing protection is worn in all areas above 85 dB (marked with signage)</w:t>
      </w:r>
    </w:p>
    <w:p>
      <w:pPr>
        <w:pStyle w:val="ListParagraph"/>
        <w:numPr>
          <w:ilvl w:val="1"/>
          <w:numId w:val="1"/>
        </w:numPr>
        <w:spacing w:after="40"/>
      </w:pPr>
      <w:r>
        <w:t xml:space="preserve">Check that cut-resistant gloves are worn at all material handling stations</w:t>
      </w:r>
    </w:p>
    <w:p>
      <w:pPr>
        <w:pStyle w:val="ListParagraph"/>
        <w:numPr>
          <w:ilvl w:val="1"/>
          <w:numId w:val="1"/>
        </w:numPr>
        <w:spacing w:after="40"/>
      </w:pPr>
      <w:r>
        <w:t xml:space="preserve">Document any PPE violations and issue corrective coaching on the spot</w:t>
      </w:r>
    </w:p>
    <w:p>
      <w:pPr>
        <w:spacing w:after="100"/>
      </w:pPr>
      <w:r>
        <w:rPr>
          <w:i/>
          <w:iCs/>
          <w:color w:val="B45309"/>
        </w:rPr>
        <w:t xml:space="preserve">Warning: PPE violations must be corrected immediately, not noted for later. If an operator doesn't have the right PPE, they stop working until they get it. No exceptions.</w:t>
      </w:r>
    </w:p>
    <w:p>
      <w:pPr>
        <w:pStyle w:val="Heading3"/>
        <w:spacing w:after="40" w:before="160"/>
      </w:pPr>
      <w:r>
        <w:t xml:space="preserve">Step 3: Perform weekly lockout/tagout verification</w:t>
      </w:r>
    </w:p>
    <w:p>
      <w:pPr>
        <w:spacing w:after="100"/>
      </w:pPr>
      <w:r>
        <w:t xml:space="preserve">Once per week, the safety officer audits lockout/tagout (LOTO) compliance by observing at least two active maintenance tasks. Verify that the technician has applied their personal lock, completed the energy isolation verification, and has the machine-specific LOTO procedure at the workstation.</w:t>
      </w:r>
    </w:p>
    <w:p>
      <w:pPr>
        <w:pStyle w:val="ListParagraph"/>
        <w:numPr>
          <w:ilvl w:val="1"/>
          <w:numId w:val="1"/>
        </w:numPr>
        <w:spacing w:after="40"/>
      </w:pPr>
      <w:r>
        <w:t xml:space="preserve">Select two maintenance work orders from the SAP PM schedule for observation</w:t>
      </w:r>
    </w:p>
    <w:p>
      <w:pPr>
        <w:pStyle w:val="ListParagraph"/>
        <w:numPr>
          <w:ilvl w:val="1"/>
          <w:numId w:val="1"/>
        </w:numPr>
        <w:spacing w:after="40"/>
      </w:pPr>
      <w:r>
        <w:t xml:space="preserve">Observe the technician applying their personal lock to the energy isolation point</w:t>
      </w:r>
    </w:p>
    <w:p>
      <w:pPr>
        <w:pStyle w:val="ListParagraph"/>
        <w:numPr>
          <w:ilvl w:val="1"/>
          <w:numId w:val="1"/>
        </w:numPr>
        <w:spacing w:after="40"/>
      </w:pPr>
      <w:r>
        <w:t xml:space="preserve">Verify the technician tests the machine start button after lockout to confirm zero energy state</w:t>
      </w:r>
    </w:p>
    <w:p>
      <w:pPr>
        <w:pStyle w:val="ListParagraph"/>
        <w:numPr>
          <w:ilvl w:val="1"/>
          <w:numId w:val="1"/>
        </w:numPr>
        <w:spacing w:after="40"/>
      </w:pPr>
      <w:r>
        <w:t xml:space="preserve">Check that the machine-specific LOTO procedure sheet is physically present at the machine</w:t>
      </w:r>
    </w:p>
    <w:p>
      <w:pPr>
        <w:pStyle w:val="ListParagraph"/>
        <w:numPr>
          <w:ilvl w:val="1"/>
          <w:numId w:val="1"/>
        </w:numPr>
        <w:spacing w:after="40"/>
      </w:pPr>
      <w:r>
        <w:t xml:space="preserve">Document the audit on the LOTO verification form and file in the safety binder</w:t>
      </w:r>
    </w:p>
    <w:p>
      <w:pPr>
        <w:spacing w:after="100"/>
      </w:pPr>
      <w:r>
        <w:rPr>
          <w:i/>
          <w:iCs/>
          <w:color w:val="B45309"/>
        </w:rPr>
        <w:t xml:space="preserve">Warning: OSHA 29 CFR 1910.147 violations are among the most-cited standards. A single missed lockout/tagout can result in citations exceeding $15,000 per instance.</w:t>
      </w:r>
    </w:p>
    <w:p>
      <w:pPr>
        <w:pStyle w:val="Heading3"/>
        <w:spacing w:after="40" w:before="160"/>
      </w:pPr>
      <w:r>
        <w:t xml:space="preserve">Step 4: Inspect machine guarding</w:t>
      </w:r>
    </w:p>
    <w:p>
      <w:pPr>
        <w:spacing w:after="100"/>
      </w:pPr>
      <w:r>
        <w:t xml:space="preserve">During the weekly inspection, check all machine guards, light curtains, and safety interlocks. Guards must be secured with fasteners (not zip ties or tape), light curtains must trigger an immediate machine stop when the beam is broken, and safety interlocks on access doors must prevent machine operation when the door is open.</w:t>
      </w:r>
    </w:p>
    <w:p>
      <w:pPr>
        <w:pStyle w:val="ListParagraph"/>
        <w:numPr>
          <w:ilvl w:val="1"/>
          <w:numId w:val="1"/>
        </w:numPr>
        <w:spacing w:after="40"/>
      </w:pPr>
      <w:r>
        <w:t xml:space="preserve">Physically test each light curtain by breaking the beam — machine must stop within 1 second</w:t>
      </w:r>
    </w:p>
    <w:p>
      <w:pPr>
        <w:pStyle w:val="ListParagraph"/>
        <w:numPr>
          <w:ilvl w:val="1"/>
          <w:numId w:val="1"/>
        </w:numPr>
        <w:spacing w:after="40"/>
      </w:pPr>
      <w:r>
        <w:t xml:space="preserve">Open each guarded access door and verify the interlock prevents machine restart</w:t>
      </w:r>
    </w:p>
    <w:p>
      <w:pPr>
        <w:pStyle w:val="ListParagraph"/>
        <w:numPr>
          <w:ilvl w:val="1"/>
          <w:numId w:val="1"/>
        </w:numPr>
        <w:spacing w:after="40"/>
      </w:pPr>
      <w:r>
        <w:t xml:space="preserve">Check that fixed guards are secured with proper hardware, not temporary fixes</w:t>
      </w:r>
    </w:p>
    <w:p>
      <w:pPr>
        <w:pStyle w:val="ListParagraph"/>
        <w:numPr>
          <w:ilvl w:val="1"/>
          <w:numId w:val="1"/>
        </w:numPr>
        <w:spacing w:after="40"/>
      </w:pPr>
      <w:r>
        <w:t xml:space="preserve">Look for bypass devices, jumper wires, or taped-over safety switches</w:t>
      </w:r>
    </w:p>
    <w:p>
      <w:pPr>
        <w:pStyle w:val="ListParagraph"/>
        <w:numPr>
          <w:ilvl w:val="1"/>
          <w:numId w:val="1"/>
        </w:numPr>
        <w:spacing w:after="40"/>
      </w:pPr>
      <w:r>
        <w:t xml:space="preserve">Log all findings in the machine guarding section of the weekly inspection form</w:t>
      </w:r>
    </w:p>
    <w:p>
      <w:pPr>
        <w:spacing w:after="100"/>
      </w:pPr>
      <w:r>
        <w:rPr>
          <w:i/>
          <w:iCs/>
          <w:color w:val="B45309"/>
        </w:rPr>
        <w:t xml:space="preserve">Warning: If you find a bypassed safety interlock, shut down the machine immediately and lock it out. A bypassed interlock is not a maintenance task — it's a stop-work condition.</w:t>
      </w:r>
    </w:p>
    <w:p>
      <w:pPr>
        <w:pStyle w:val="Heading3"/>
        <w:spacing w:after="40" w:before="160"/>
      </w:pPr>
      <w:r>
        <w:t xml:space="preserve">Step 5: Conduct the monthly full-scope safety audit</w:t>
      </w:r>
    </w:p>
    <w:p>
      <w:pPr>
        <w:spacing w:after="100"/>
      </w:pPr>
      <w:r>
        <w:t xml:space="preserve">The safety officer performs a full-facility audit covering all areas: production floor, warehouse, loading docks, break rooms, chemical storage, and electrical panels. Use the full-scope audit checklist that maps to OSHA General Industry Standards (29 CFR 1910). Score each area and photograph any deficiencies.</w:t>
      </w:r>
    </w:p>
    <w:p>
      <w:pPr>
        <w:pStyle w:val="ListParagraph"/>
        <w:numPr>
          <w:ilvl w:val="1"/>
          <w:numId w:val="1"/>
        </w:numPr>
        <w:spacing w:after="40"/>
      </w:pPr>
      <w:r>
        <w:t xml:space="preserve">Walk every area of the facility with the full-scope audit checklist</w:t>
      </w:r>
    </w:p>
    <w:p>
      <w:pPr>
        <w:pStyle w:val="ListParagraph"/>
        <w:numPr>
          <w:ilvl w:val="1"/>
          <w:numId w:val="1"/>
        </w:numPr>
        <w:spacing w:after="40"/>
      </w:pPr>
      <w:r>
        <w:t xml:space="preserve">Verify chemical storage areas have current SDS sheets within 20 feet of storage</w:t>
      </w:r>
    </w:p>
    <w:p>
      <w:pPr>
        <w:pStyle w:val="ListParagraph"/>
        <w:numPr>
          <w:ilvl w:val="1"/>
          <w:numId w:val="1"/>
        </w:numPr>
        <w:spacing w:after="40"/>
      </w:pPr>
      <w:r>
        <w:t xml:space="preserve">Check that electrical panels have 36 inches of clearance (OSHA 1910.303)</w:t>
      </w:r>
    </w:p>
    <w:p>
      <w:pPr>
        <w:pStyle w:val="ListParagraph"/>
        <w:numPr>
          <w:ilvl w:val="1"/>
          <w:numId w:val="1"/>
        </w:numPr>
        <w:spacing w:after="40"/>
      </w:pPr>
      <w:r>
        <w:t xml:space="preserve">Inspect emergency exits for clear paths, proper signage, and working crash bars</w:t>
      </w:r>
    </w:p>
    <w:p>
      <w:pPr>
        <w:pStyle w:val="ListParagraph"/>
        <w:numPr>
          <w:ilvl w:val="1"/>
          <w:numId w:val="1"/>
        </w:numPr>
        <w:spacing w:after="40"/>
      </w:pPr>
      <w:r>
        <w:t xml:space="preserve">Verify first aid kits are stocked and AED units have current battery/pad dates</w:t>
      </w:r>
    </w:p>
    <w:p>
      <w:pPr>
        <w:pStyle w:val="ListParagraph"/>
        <w:numPr>
          <w:ilvl w:val="1"/>
          <w:numId w:val="1"/>
        </w:numPr>
        <w:spacing w:after="40"/>
      </w:pPr>
      <w:r>
        <w:t xml:space="preserve">Photograph every deficiency and assign a corrective action owner and due date</w:t>
      </w:r>
    </w:p>
    <w:p>
      <w:pPr>
        <w:pStyle w:val="Heading3"/>
        <w:spacing w:after="40" w:before="160"/>
      </w:pPr>
      <w:r>
        <w:t xml:space="preserve">Step 6: Process near-miss reports</w:t>
      </w:r>
    </w:p>
    <w:p>
      <w:pPr>
        <w:spacing w:after="100"/>
      </w:pPr>
      <w:r>
        <w:t xml:space="preserve">When an employee submits a near-miss report, the safety officer reviews it within 24 hours. Categorize the near-miss by type (fall, struck-by, caught-in, electrical, chemical). Investigate the root cause. If the near-miss could have resulted in a serious injury, treat it with the same urgency as an actual incident.</w:t>
      </w:r>
    </w:p>
    <w:p>
      <w:pPr>
        <w:pStyle w:val="ListParagraph"/>
        <w:numPr>
          <w:ilvl w:val="1"/>
          <w:numId w:val="1"/>
        </w:numPr>
        <w:spacing w:after="40"/>
      </w:pPr>
      <w:r>
        <w:t xml:space="preserve">Review the near-miss form for completeness: date, time, location, description, witness names</w:t>
      </w:r>
    </w:p>
    <w:p>
      <w:pPr>
        <w:pStyle w:val="ListParagraph"/>
        <w:numPr>
          <w:ilvl w:val="1"/>
          <w:numId w:val="1"/>
        </w:numPr>
        <w:spacing w:after="40"/>
      </w:pPr>
      <w:r>
        <w:t xml:space="preserve">Visit the location where the near-miss occurred and photograph the conditions</w:t>
      </w:r>
    </w:p>
    <w:p>
      <w:pPr>
        <w:pStyle w:val="ListParagraph"/>
        <w:numPr>
          <w:ilvl w:val="1"/>
          <w:numId w:val="1"/>
        </w:numPr>
        <w:spacing w:after="40"/>
      </w:pPr>
      <w:r>
        <w:t xml:space="preserve">Interview the reporting employee and any witnesses</w:t>
      </w:r>
    </w:p>
    <w:p>
      <w:pPr>
        <w:pStyle w:val="ListParagraph"/>
        <w:numPr>
          <w:ilvl w:val="1"/>
          <w:numId w:val="1"/>
        </w:numPr>
        <w:spacing w:after="40"/>
      </w:pPr>
      <w:r>
        <w:t xml:space="preserve">Categorize the near-miss and determine root cause</w:t>
      </w:r>
    </w:p>
    <w:p>
      <w:pPr>
        <w:pStyle w:val="ListParagraph"/>
        <w:numPr>
          <w:ilvl w:val="1"/>
          <w:numId w:val="1"/>
        </w:numPr>
        <w:spacing w:after="40"/>
      </w:pPr>
      <w:r>
        <w:t xml:space="preserve">Create a corrective action in the safety tracking system with owner and due date</w:t>
      </w:r>
    </w:p>
    <w:p>
      <w:pPr>
        <w:spacing w:after="100"/>
      </w:pPr>
      <w:r>
        <w:rPr>
          <w:i/>
          <w:iCs/>
          <w:color w:val="1F7A4D"/>
        </w:rPr>
        <w:t xml:space="preserve">Tip: Never punish or discourage near-miss reporting. Plants with high near-miss reporting rates have lower injury rates — because they catch hazards before someone gets hurt.</w:t>
      </w:r>
    </w:p>
    <w:p>
      <w:pPr>
        <w:pStyle w:val="Heading3"/>
        <w:spacing w:after="40" w:before="160"/>
      </w:pPr>
      <w:r>
        <w:t xml:space="preserve">Step 7: Investigate and document recordable incidents</w:t>
      </w:r>
    </w:p>
    <w:p>
      <w:pPr>
        <w:spacing w:after="100"/>
      </w:pPr>
      <w:r>
        <w:t xml:space="preserve">For any OSHA-recordable incident (injury requiring medical treatment beyond first aid, days away from work, or restricted duty), complete a full investigation within 48 hours. Document the timeline, root cause, witness statements, and corrective actions. Update the OSHA 300 log within 7 calendar days.</w:t>
      </w:r>
    </w:p>
    <w:p>
      <w:pPr>
        <w:pStyle w:val="ListParagraph"/>
        <w:numPr>
          <w:ilvl w:val="1"/>
          <w:numId w:val="1"/>
        </w:numPr>
        <w:spacing w:after="40"/>
      </w:pPr>
      <w:r>
        <w:t xml:space="preserve">Secure the incident scene and take photographs before anything is moved</w:t>
      </w:r>
    </w:p>
    <w:p>
      <w:pPr>
        <w:pStyle w:val="ListParagraph"/>
        <w:numPr>
          <w:ilvl w:val="1"/>
          <w:numId w:val="1"/>
        </w:numPr>
        <w:spacing w:after="40"/>
      </w:pPr>
      <w:r>
        <w:t xml:space="preserve">Interview the injured employee (when medically able) and all witnesses separately</w:t>
      </w:r>
    </w:p>
    <w:p>
      <w:pPr>
        <w:pStyle w:val="ListParagraph"/>
        <w:numPr>
          <w:ilvl w:val="1"/>
          <w:numId w:val="1"/>
        </w:numPr>
        <w:spacing w:after="40"/>
      </w:pPr>
      <w:r>
        <w:t xml:space="preserve">Complete the incident investigation form with root cause analysis</w:t>
      </w:r>
    </w:p>
    <w:p>
      <w:pPr>
        <w:pStyle w:val="ListParagraph"/>
        <w:numPr>
          <w:ilvl w:val="1"/>
          <w:numId w:val="1"/>
        </w:numPr>
        <w:spacing w:after="40"/>
      </w:pPr>
      <w:r>
        <w:t xml:space="preserve">Define immediate corrective actions and long-term preventive measures</w:t>
      </w:r>
    </w:p>
    <w:p>
      <w:pPr>
        <w:pStyle w:val="ListParagraph"/>
        <w:numPr>
          <w:ilvl w:val="1"/>
          <w:numId w:val="1"/>
        </w:numPr>
        <w:spacing w:after="40"/>
      </w:pPr>
      <w:r>
        <w:t xml:space="preserve">Update OSHA Form 300 and file Form 301 within 7 calendar days</w:t>
      </w:r>
    </w:p>
    <w:p>
      <w:pPr>
        <w:pStyle w:val="Heading3"/>
        <w:spacing w:after="40" w:before="160"/>
      </w:pPr>
      <w:r>
        <w:t xml:space="preserve">Step 8: Report findings to plant management</w:t>
      </w:r>
    </w:p>
    <w:p>
      <w:pPr>
        <w:spacing w:after="100"/>
      </w:pPr>
      <w:r>
        <w:t xml:space="preserve">Every Monday, the safety officer presents the weekly safety summary to the plant manager and production supervisors. Include: number of inspections completed, open corrective actions, near-miss count, recordable incident rate (TRIR), and any OSHA compliance gaps. This meeting should take 15 minutes.</w:t>
      </w:r>
    </w:p>
    <w:p>
      <w:pPr>
        <w:pStyle w:val="ListParagraph"/>
        <w:numPr>
          <w:ilvl w:val="1"/>
          <w:numId w:val="1"/>
        </w:numPr>
        <w:spacing w:after="40"/>
      </w:pPr>
      <w:r>
        <w:t xml:space="preserve">Compile weekly inspection results into the safety dashboard</w:t>
      </w:r>
    </w:p>
    <w:p>
      <w:pPr>
        <w:pStyle w:val="ListParagraph"/>
        <w:numPr>
          <w:ilvl w:val="1"/>
          <w:numId w:val="1"/>
        </w:numPr>
        <w:spacing w:after="40"/>
      </w:pPr>
      <w:r>
        <w:t xml:space="preserve">Calculate current TRIR (Total Recordable Incident Rate) and compare to plant target</w:t>
      </w:r>
    </w:p>
    <w:p>
      <w:pPr>
        <w:pStyle w:val="ListParagraph"/>
        <w:numPr>
          <w:ilvl w:val="1"/>
          <w:numId w:val="1"/>
        </w:numPr>
        <w:spacing w:after="40"/>
      </w:pPr>
      <w:r>
        <w:t xml:space="preserve">List all open corrective actions with status and due dates</w:t>
      </w:r>
    </w:p>
    <w:p>
      <w:pPr>
        <w:pStyle w:val="ListParagraph"/>
        <w:numPr>
          <w:ilvl w:val="1"/>
          <w:numId w:val="1"/>
        </w:numPr>
        <w:spacing w:after="40"/>
      </w:pPr>
      <w:r>
        <w:t xml:space="preserve">Highlight any repeat findings that indicate a systemic issue</w:t>
      </w:r>
    </w:p>
    <w:p>
      <w:pPr>
        <w:pStyle w:val="ListParagraph"/>
        <w:numPr>
          <w:ilvl w:val="1"/>
          <w:numId w:val="1"/>
        </w:numPr>
        <w:spacing w:after="40"/>
      </w:pPr>
      <w:r>
        <w:t xml:space="preserve">Get plant manager sign-off on the weekly safety report</w:t>
      </w:r>
    </w:p>
    <w:p>
      <w:pPr>
        <w:pStyle w:val="Heading2"/>
        <w:spacing w:after="100" w:before="240"/>
      </w:pPr>
      <w:r>
        <w:t xml:space="preserve">Completion Checklist</w:t>
      </w:r>
    </w:p>
    <w:p>
      <w:pPr>
        <w:spacing w:after="40"/>
      </w:pPr>
      <w:r>
        <w:t xml:space="preserve">☐  Daily shift-start safety walkthrough completed before production begins</w:t>
      </w:r>
    </w:p>
    <w:p>
      <w:pPr>
        <w:spacing w:after="40"/>
      </w:pPr>
      <w:r>
        <w:t xml:space="preserve">☐  All operators wearing required PPE per workstation PPE matrix</w:t>
      </w:r>
    </w:p>
    <w:p>
      <w:pPr>
        <w:spacing w:after="40"/>
      </w:pPr>
      <w:r>
        <w:t xml:space="preserve">☐  Emergency stop buttons unobstructed and functional</w:t>
      </w:r>
    </w:p>
    <w:p>
      <w:pPr>
        <w:spacing w:after="40"/>
      </w:pPr>
      <w:r>
        <w:t xml:space="preserve">☐  Machine guards in place and secured with proper hardware</w:t>
      </w:r>
    </w:p>
    <w:p>
      <w:pPr>
        <w:spacing w:after="40"/>
      </w:pPr>
      <w:r>
        <w:t xml:space="preserve">☐  Light curtains and safety interlocks tested weekly</w:t>
      </w:r>
    </w:p>
    <w:p>
      <w:pPr>
        <w:spacing w:after="40"/>
      </w:pPr>
      <w:r>
        <w:t xml:space="preserve">☐  No bypassed safety devices found</w:t>
      </w:r>
    </w:p>
    <w:p>
      <w:pPr>
        <w:spacing w:after="40"/>
      </w:pPr>
      <w:r>
        <w:t xml:space="preserve">☐  Lockout/tagout audit completed on at least 2 maintenance tasks per week</w:t>
      </w:r>
    </w:p>
    <w:p>
      <w:pPr>
        <w:spacing w:after="40"/>
      </w:pPr>
      <w:r>
        <w:t xml:space="preserve">☐  Chemical storage areas have current SDS sheets accessible</w:t>
      </w:r>
    </w:p>
    <w:p>
      <w:pPr>
        <w:spacing w:after="40"/>
      </w:pPr>
      <w:r>
        <w:t xml:space="preserve">☐  Electrical panels maintain 36-inch clearance</w:t>
      </w:r>
    </w:p>
    <w:p>
      <w:pPr>
        <w:spacing w:after="40"/>
      </w:pPr>
      <w:r>
        <w:t xml:space="preserve">☐  Near-miss reports reviewed within 24 hours</w:t>
      </w:r>
    </w:p>
    <w:p>
      <w:pPr>
        <w:spacing w:after="40"/>
      </w:pPr>
      <w:r>
        <w:t xml:space="preserve">☐  OSHA 300 log current and posted</w:t>
      </w:r>
    </w:p>
    <w:p>
      <w:pPr>
        <w:spacing w:after="40"/>
      </w:pPr>
      <w:r>
        <w:t xml:space="preserve">☐  Weekly safety summary presented to plant management</w:t>
      </w:r>
    </w:p>
    <w:p>
      <w:pPr>
        <w:spacing w:after="40"/>
      </w:pPr>
      <w:r>
        <w:t xml:space="preserve">☐  All corrective actions assigned with owner and due date</w:t>
      </w:r>
    </w:p>
    <w:p>
      <w:pPr>
        <w:spacing w:after="40"/>
      </w:pPr>
      <w:r>
        <w:t xml:space="preserve">☐  First aid kits stocked and AED batteries current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Total Recordable Incident Rate (TRIR)</w:t>
            </w:r>
          </w:p>
        </w:tc>
        <w:tc>
          <w:tcPr>
            <w:tcMar>
              <w:top w:type="dxa" w:w="60"/>
              <w:left w:type="dxa" w:w="120"/>
              <w:bottom w:type="dxa" w:w="60"/>
              <w:right w:type="dxa" w:w="120"/>
            </w:tcMar>
          </w:tcPr>
          <w:p>
            <w:r>
              <w:rPr>
                <w:b w:val="false"/>
                <w:bCs w:val="false"/>
              </w:rPr>
              <w:t xml:space="preserve">Below 2.0 (industry average is 3.3)</w:t>
            </w:r>
          </w:p>
        </w:tc>
      </w:tr>
      <w:tr>
        <w:trPr>
          <w:tblHeader w:val="false"/>
        </w:trPr>
        <w:tc>
          <w:tcPr>
            <w:tcMar>
              <w:top w:type="dxa" w:w="60"/>
              <w:left w:type="dxa" w:w="120"/>
              <w:bottom w:type="dxa" w:w="60"/>
              <w:right w:type="dxa" w:w="120"/>
            </w:tcMar>
          </w:tcPr>
          <w:p>
            <w:r>
              <w:rPr>
                <w:b w:val="false"/>
                <w:bCs w:val="false"/>
              </w:rPr>
              <w:t xml:space="preserve">Near-miss reporting rate</w:t>
            </w:r>
          </w:p>
        </w:tc>
        <w:tc>
          <w:tcPr>
            <w:tcMar>
              <w:top w:type="dxa" w:w="60"/>
              <w:left w:type="dxa" w:w="120"/>
              <w:bottom w:type="dxa" w:w="60"/>
              <w:right w:type="dxa" w:w="120"/>
            </w:tcMar>
          </w:tcPr>
          <w:p>
            <w:r>
              <w:rPr>
                <w:b w:val="false"/>
                <w:bCs w:val="false"/>
              </w:rPr>
              <w:t xml:space="preserve">Minimum 10 reports per 100 employees per month</w:t>
            </w:r>
          </w:p>
        </w:tc>
      </w:tr>
      <w:tr>
        <w:trPr>
          <w:tblHeader w:val="false"/>
        </w:trPr>
        <w:tc>
          <w:tcPr>
            <w:tcMar>
              <w:top w:type="dxa" w:w="60"/>
              <w:left w:type="dxa" w:w="120"/>
              <w:bottom w:type="dxa" w:w="60"/>
              <w:right w:type="dxa" w:w="120"/>
            </w:tcMar>
          </w:tcPr>
          <w:p>
            <w:r>
              <w:rPr>
                <w:b w:val="false"/>
                <w:bCs w:val="false"/>
              </w:rPr>
              <w:t xml:space="preserve">Safety inspection completion rate</w:t>
            </w:r>
          </w:p>
        </w:tc>
        <w:tc>
          <w:tcPr>
            <w:tcMar>
              <w:top w:type="dxa" w:w="60"/>
              <w:left w:type="dxa" w:w="120"/>
              <w:bottom w:type="dxa" w:w="60"/>
              <w:right w:type="dxa" w:w="120"/>
            </w:tcMar>
          </w:tcPr>
          <w:p>
            <w:r>
              <w:rPr>
                <w:b w:val="false"/>
                <w:bCs w:val="false"/>
              </w:rPr>
              <w:t xml:space="preserve">100% of scheduled inspections completed on time</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Above 90% closed within assigned due date</w:t>
            </w:r>
          </w:p>
        </w:tc>
      </w:tr>
      <w:tr>
        <w:trPr>
          <w:tblHeader w:val="false"/>
        </w:trPr>
        <w:tc>
          <w:tcPr>
            <w:tcMar>
              <w:top w:type="dxa" w:w="60"/>
              <w:left w:type="dxa" w:w="120"/>
              <w:bottom w:type="dxa" w:w="60"/>
              <w:right w:type="dxa" w:w="120"/>
            </w:tcMar>
          </w:tcPr>
          <w:p>
            <w:r>
              <w:rPr>
                <w:b w:val="false"/>
                <w:bCs w:val="false"/>
              </w:rPr>
              <w:t xml:space="preserve">Days since last recordable incident</w:t>
            </w:r>
          </w:p>
        </w:tc>
        <w:tc>
          <w:tcPr>
            <w:tcMar>
              <w:top w:type="dxa" w:w="60"/>
              <w:left w:type="dxa" w:w="120"/>
              <w:bottom w:type="dxa" w:w="60"/>
              <w:right w:type="dxa" w:w="120"/>
            </w:tcMar>
          </w:tcPr>
          <w:p>
            <w:r>
              <w:rPr>
                <w:b w:val="false"/>
                <w:bCs w:val="false"/>
              </w:rPr>
              <w:t xml:space="preserve">Above 90 consecutive days</w:t>
            </w:r>
          </w:p>
        </w:tc>
      </w:tr>
    </w:tbl>
    <w:p>
      <w:pPr>
        <w:pStyle w:val="Heading2"/>
        <w:spacing w:after="100" w:before="240"/>
      </w:pPr>
      <w:r>
        <w:t xml:space="preserve">Revision Schedule</w:t>
      </w:r>
    </w:p>
    <w:p>
      <w:pPr>
        <w:spacing w:after="100"/>
      </w:pPr>
      <w:r>
        <w:t xml:space="preserve">Every 6 months, or immediately after any recordable incident, OSHA citation, or change to facility layout or equipment.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Inspection SOP Template for Manufacturing Teams</dc:title>
  <dc:creator>Glyde</dc:creator>
  <dc:description>Free safety inspection SOP template for manufacturing facilities. Covers OSHA walkthroughs, lockout/tagout verification, PPE compliance, and near-miss reporting.</dc:description>
  <cp:lastModifiedBy>Un-named</cp:lastModifiedBy>
  <cp:revision>1</cp:revision>
  <dcterms:created xsi:type="dcterms:W3CDTF">2026-07-22T08:34:36.233Z</dcterms:created>
  <dcterms:modified xsi:type="dcterms:W3CDTF">2026-07-22T08:34:36.233Z</dcterms:modified>
</cp:coreProperties>
</file>

<file path=docProps/custom.xml><?xml version="1.0" encoding="utf-8"?>
<Properties xmlns="http://schemas.openxmlformats.org/officeDocument/2006/custom-properties" xmlns:vt="http://schemas.openxmlformats.org/officeDocument/2006/docPropsVTypes"/>
</file>