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SOP Template: Training Delivery for Education</w:t>
      </w:r>
    </w:p>
    <w:p>
      <w:pPr>
        <w:spacing w:after="200"/>
      </w:pPr>
      <w:r>
        <w:rPr>
          <w:i/>
          <w:iCs/>
          <w:color w:val="6B7280"/>
        </w:rPr>
        <w:t xml:space="preserve">Free training delivery SOP template for education HR teams. Step-by-step procedures for faculty development, staff training, and compliance training at schools and universities.</w:t>
      </w:r>
    </w:p>
    <w:p>
      <w:pPr>
        <w:pStyle w:val="Heading2"/>
        <w:spacing w:after="100" w:before="240"/>
      </w:pPr>
      <w:r>
        <w:t xml:space="preserve">Purpose</w:t>
      </w:r>
    </w:p>
    <w:p>
      <w:pPr>
        <w:spacing w:after="100"/>
      </w:pPr>
      <w:r>
        <w:t xml:space="preserve">Standardize how training sessions are planned, delivered, and documented across K-12 schools, school districts, and higher education institutions. This SOP covers mandatory compliance training (FERPA, Title IX, safety), professional development for faculty, technology training for new systems, and role-specific skill building — ensuring every session is consistent, tracked, and tied to institutional goals.</w:t>
      </w:r>
    </w:p>
    <w:p>
      <w:pPr>
        <w:pStyle w:val="Heading2"/>
        <w:spacing w:after="100" w:before="240"/>
      </w:pPr>
      <w:r>
        <w:t xml:space="preserve">Scope</w:t>
      </w:r>
    </w:p>
    <w:p>
      <w:pPr>
        <w:spacing w:after="100"/>
      </w:pPr>
      <w:r>
        <w:t xml:space="preserve">Covers all formal training sessions for faculty, staff, and administrators including compliance training, professional development workshops, technology training, and new process rollouts. Applies to both in-person and virtual delivery. Does not cover student-facing instruction, academic course delivery, or informal peer mentoring.</w:t>
      </w:r>
    </w:p>
    <w:p>
      <w:pPr>
        <w:pStyle w:val="Heading2"/>
        <w:spacing w:after="100" w:before="240"/>
      </w:pPr>
      <w:r>
        <w:t xml:space="preserve">Prerequisites</w:t>
      </w:r>
    </w:p>
    <w:p>
      <w:pPr>
        <w:pStyle w:val="ListParagraph"/>
        <w:numPr>
          <w:ilvl w:val="0"/>
          <w:numId w:val="1"/>
        </w:numPr>
        <w:spacing w:after="40"/>
      </w:pPr>
      <w:r>
        <w:t xml:space="preserve">Training needs assessment completed for the current academic year</w:t>
      </w:r>
    </w:p>
    <w:p>
      <w:pPr>
        <w:pStyle w:val="ListParagraph"/>
        <w:numPr>
          <w:ilvl w:val="0"/>
          <w:numId w:val="1"/>
        </w:numPr>
        <w:spacing w:after="40"/>
      </w:pPr>
      <w:r>
        <w:t xml:space="preserve">Annual training calendar published and approved by HR and academic leadership</w:t>
      </w:r>
    </w:p>
    <w:p>
      <w:pPr>
        <w:pStyle w:val="ListParagraph"/>
        <w:numPr>
          <w:ilvl w:val="0"/>
          <w:numId w:val="1"/>
        </w:numPr>
        <w:spacing w:after="40"/>
      </w:pPr>
      <w:r>
        <w:t xml:space="preserve">Learning management system (Canvas, Blackboard, or institutional LMS) configured for staff training modules</w:t>
      </w:r>
    </w:p>
    <w:p>
      <w:pPr>
        <w:pStyle w:val="ListParagraph"/>
        <w:numPr>
          <w:ilvl w:val="0"/>
          <w:numId w:val="1"/>
        </w:numPr>
        <w:spacing w:after="40"/>
      </w:pPr>
      <w:r>
        <w:t xml:space="preserve">Training materials reviewed and updated within the last 12 months</w:t>
      </w:r>
    </w:p>
    <w:p>
      <w:pPr>
        <w:pStyle w:val="ListParagraph"/>
        <w:numPr>
          <w:ilvl w:val="0"/>
          <w:numId w:val="1"/>
        </w:numPr>
        <w:spacing w:after="40"/>
      </w:pPr>
      <w:r>
        <w:t xml:space="preserve">Budget approved for external facilitators, materials, and substitute coverage if needed</w:t>
      </w:r>
    </w:p>
    <w:p>
      <w:pPr>
        <w:pStyle w:val="Heading2"/>
        <w:spacing w:after="100" w:before="240"/>
      </w:pPr>
      <w:r>
        <w:t xml:space="preserve">Roles &amp; Responsibilities</w:t>
      </w:r>
    </w:p>
    <w:p>
      <w:pPr>
        <w:spacing w:after="40" w:before="120"/>
      </w:pPr>
      <w:r>
        <w:rPr>
          <w:b/>
          <w:bCs/>
        </w:rPr>
        <w:t xml:space="preserve">HR Training Coordinator</w:t>
      </w:r>
    </w:p>
    <w:p>
      <w:pPr>
        <w:pStyle w:val="ListParagraph"/>
        <w:numPr>
          <w:ilvl w:val="0"/>
          <w:numId w:val="1"/>
        </w:numPr>
        <w:spacing w:after="40"/>
      </w:pPr>
      <w:r>
        <w:t xml:space="preserve">Maintain the annual training calendar and schedule sessions</w:t>
      </w:r>
    </w:p>
    <w:p>
      <w:pPr>
        <w:pStyle w:val="ListParagraph"/>
        <w:numPr>
          <w:ilvl w:val="0"/>
          <w:numId w:val="1"/>
        </w:numPr>
        <w:spacing w:after="40"/>
      </w:pPr>
      <w:r>
        <w:t xml:space="preserve">Track attendance and completion records in the HRIS or LMS</w:t>
      </w:r>
    </w:p>
    <w:p>
      <w:pPr>
        <w:pStyle w:val="ListParagraph"/>
        <w:numPr>
          <w:ilvl w:val="0"/>
          <w:numId w:val="1"/>
        </w:numPr>
        <w:spacing w:after="40"/>
      </w:pPr>
      <w:r>
        <w:t xml:space="preserve">Coordinate logistics including room reservations, technology setup, and materials</w:t>
      </w:r>
    </w:p>
    <w:p>
      <w:pPr>
        <w:spacing w:after="40" w:before="120"/>
      </w:pPr>
      <w:r>
        <w:rPr>
          <w:b/>
          <w:bCs/>
        </w:rPr>
        <w:t xml:space="preserve">Subject Matter Expert or Facilitator</w:t>
      </w:r>
    </w:p>
    <w:p>
      <w:pPr>
        <w:pStyle w:val="ListParagraph"/>
        <w:numPr>
          <w:ilvl w:val="0"/>
          <w:numId w:val="1"/>
        </w:numPr>
        <w:spacing w:after="40"/>
      </w:pPr>
      <w:r>
        <w:t xml:space="preserve">Develop or update training content for their area of expertise</w:t>
      </w:r>
    </w:p>
    <w:p>
      <w:pPr>
        <w:pStyle w:val="ListParagraph"/>
        <w:numPr>
          <w:ilvl w:val="0"/>
          <w:numId w:val="1"/>
        </w:numPr>
        <w:spacing w:after="40"/>
      </w:pPr>
      <w:r>
        <w:t xml:space="preserve">Deliver the training session according to the approved curriculum</w:t>
      </w:r>
    </w:p>
    <w:p>
      <w:pPr>
        <w:pStyle w:val="ListParagraph"/>
        <w:numPr>
          <w:ilvl w:val="0"/>
          <w:numId w:val="1"/>
        </w:numPr>
        <w:spacing w:after="40"/>
      </w:pPr>
      <w:r>
        <w:t xml:space="preserve">Assess participant understanding through quizzes, activities, or practical demonstrations</w:t>
      </w:r>
    </w:p>
    <w:p>
      <w:pPr>
        <w:spacing w:after="40" w:before="120"/>
      </w:pPr>
      <w:r>
        <w:rPr>
          <w:b/>
          <w:bCs/>
        </w:rPr>
        <w:t xml:space="preserve">Department Chair or Principal</w:t>
      </w:r>
    </w:p>
    <w:p>
      <w:pPr>
        <w:pStyle w:val="ListParagraph"/>
        <w:numPr>
          <w:ilvl w:val="0"/>
          <w:numId w:val="1"/>
        </w:numPr>
        <w:spacing w:after="40"/>
      </w:pPr>
      <w:r>
        <w:t xml:space="preserve">Identify department-specific training needs and communicate them to HR</w:t>
      </w:r>
    </w:p>
    <w:p>
      <w:pPr>
        <w:pStyle w:val="ListParagraph"/>
        <w:numPr>
          <w:ilvl w:val="0"/>
          <w:numId w:val="1"/>
        </w:numPr>
        <w:spacing w:after="40"/>
      </w:pPr>
      <w:r>
        <w:t xml:space="preserve">Ensure their team members attend required training sessions</w:t>
      </w:r>
    </w:p>
    <w:p>
      <w:pPr>
        <w:pStyle w:val="ListParagraph"/>
        <w:numPr>
          <w:ilvl w:val="0"/>
          <w:numId w:val="1"/>
        </w:numPr>
        <w:spacing w:after="40"/>
      </w:pPr>
      <w:r>
        <w:t xml:space="preserve">Arrange substitute coverage for teachers attending daytime training</w:t>
      </w:r>
    </w:p>
    <w:p>
      <w:pPr>
        <w:pStyle w:val="Heading2"/>
        <w:spacing w:after="100" w:before="240"/>
      </w:pPr>
      <w:r>
        <w:t xml:space="preserve">Procedure</w:t>
      </w:r>
    </w:p>
    <w:p>
      <w:pPr>
        <w:pStyle w:val="Heading3"/>
        <w:spacing w:after="40" w:before="160"/>
      </w:pPr>
      <w:r>
        <w:t xml:space="preserve">Step 1: Identify training needs and objectives</w:t>
      </w:r>
    </w:p>
    <w:p>
      <w:pPr>
        <w:spacing w:after="100"/>
      </w:pPr>
      <w:r>
        <w:t xml:space="preserve">At the start of each academic year (or when a new requirement arises), HR works with department chairs, principals, and the compliance officer to identify required training. Mandatory training includes FERPA refreshers, Title IX updates, safety procedures, and any state-mandated modules. Professional development needs come from performance reviews, accreditation goals, and technology rollouts like new Canvas features or a Workday migration.</w:t>
      </w:r>
    </w:p>
    <w:p>
      <w:pPr>
        <w:pStyle w:val="ListParagraph"/>
        <w:numPr>
          <w:ilvl w:val="1"/>
          <w:numId w:val="1"/>
        </w:numPr>
        <w:spacing w:after="40"/>
      </w:pPr>
      <w:r>
        <w:t xml:space="preserve">Review compliance training requirements: FERPA, Title IX, ADA, state mandates</w:t>
      </w:r>
    </w:p>
    <w:p>
      <w:pPr>
        <w:pStyle w:val="ListParagraph"/>
        <w:numPr>
          <w:ilvl w:val="1"/>
          <w:numId w:val="1"/>
        </w:numPr>
        <w:spacing w:after="40"/>
      </w:pPr>
      <w:r>
        <w:t xml:space="preserve">Collect professional development requests from department chairs and principals</w:t>
      </w:r>
    </w:p>
    <w:p>
      <w:pPr>
        <w:pStyle w:val="ListParagraph"/>
        <w:numPr>
          <w:ilvl w:val="1"/>
          <w:numId w:val="1"/>
        </w:numPr>
        <w:spacing w:after="40"/>
      </w:pPr>
      <w:r>
        <w:t xml:space="preserve">Identify technology training needs for system updates or new tool deployments</w:t>
      </w:r>
    </w:p>
    <w:p>
      <w:pPr>
        <w:pStyle w:val="ListParagraph"/>
        <w:numPr>
          <w:ilvl w:val="1"/>
          <w:numId w:val="1"/>
        </w:numPr>
        <w:spacing w:after="40"/>
      </w:pPr>
      <w:r>
        <w:t xml:space="preserve">Prioritize training by urgency: compliance deadlines first, then institutional goals</w:t>
      </w:r>
    </w:p>
    <w:p>
      <w:pPr>
        <w:spacing w:after="100"/>
      </w:pPr>
      <w:r>
        <w:rPr>
          <w:i/>
          <w:iCs/>
          <w:color w:val="1F7A4D"/>
        </w:rPr>
        <w:t xml:space="preserve">Tip: Cross-reference your training plan with accreditation standards. Many accrediting bodies expect evidence of ongoing professional development for faculty — building this into your annual plan creates audit evidence automatically.</w:t>
      </w:r>
    </w:p>
    <w:p>
      <w:pPr>
        <w:pStyle w:val="Heading3"/>
        <w:spacing w:after="40" w:before="160"/>
      </w:pPr>
      <w:r>
        <w:t xml:space="preserve">Step 2: Develop or update training materials</w:t>
      </w:r>
    </w:p>
    <w:p>
      <w:pPr>
        <w:spacing w:after="100"/>
      </w:pPr>
      <w:r>
        <w:t xml:space="preserve">The subject matter expert or facilitator develops the training content. For compliance training, use materials vetted by legal counsel (especially Title IX, which changes with new federal guidance). For technology training, create step-by-step guides using actual screenshots from your institution's systems. All materials should include learning objectives, an agenda, and an assessment component.</w:t>
      </w:r>
    </w:p>
    <w:p>
      <w:pPr>
        <w:pStyle w:val="ListParagraph"/>
        <w:numPr>
          <w:ilvl w:val="1"/>
          <w:numId w:val="1"/>
        </w:numPr>
        <w:spacing w:after="40"/>
      </w:pPr>
      <w:r>
        <w:t xml:space="preserve">Define clear learning objectives for each training session</w:t>
      </w:r>
    </w:p>
    <w:p>
      <w:pPr>
        <w:pStyle w:val="ListParagraph"/>
        <w:numPr>
          <w:ilvl w:val="1"/>
          <w:numId w:val="1"/>
        </w:numPr>
        <w:spacing w:after="40"/>
      </w:pPr>
      <w:r>
        <w:t xml:space="preserve">Create or update the training deck, handouts, and reference materials</w:t>
      </w:r>
    </w:p>
    <w:p>
      <w:pPr>
        <w:pStyle w:val="ListParagraph"/>
        <w:numPr>
          <w:ilvl w:val="1"/>
          <w:numId w:val="1"/>
        </w:numPr>
        <w:spacing w:after="40"/>
      </w:pPr>
      <w:r>
        <w:t xml:space="preserve">Develop an assessment: quiz, scenario exercise, or practical demonstration</w:t>
      </w:r>
    </w:p>
    <w:p>
      <w:pPr>
        <w:pStyle w:val="ListParagraph"/>
        <w:numPr>
          <w:ilvl w:val="1"/>
          <w:numId w:val="1"/>
        </w:numPr>
        <w:spacing w:after="40"/>
      </w:pPr>
      <w:r>
        <w:t xml:space="preserve">Have compliance training materials reviewed by the compliance officer or legal counsel</w:t>
      </w:r>
    </w:p>
    <w:p>
      <w:pPr>
        <w:pStyle w:val="ListParagraph"/>
        <w:numPr>
          <w:ilvl w:val="1"/>
          <w:numId w:val="1"/>
        </w:numPr>
        <w:spacing w:after="40"/>
      </w:pPr>
      <w:r>
        <w:t xml:space="preserve">Upload self-paced modules to the LMS for asynchronous access</w:t>
      </w:r>
    </w:p>
    <w:p>
      <w:pPr>
        <w:spacing w:after="100"/>
      </w:pPr>
      <w:r>
        <w:rPr>
          <w:i/>
          <w:iCs/>
          <w:color w:val="B45309"/>
        </w:rPr>
        <w:t xml:space="preserve">Warning: Title IX training requirements change when federal guidance is updated. Always verify that your Title IX training materials reflect the most current regulations before delivering a session.</w:t>
      </w:r>
    </w:p>
    <w:p>
      <w:pPr>
        <w:pStyle w:val="Heading3"/>
        <w:spacing w:after="40" w:before="160"/>
      </w:pPr>
      <w:r>
        <w:t xml:space="preserve">Step 3: Schedule the training session</w:t>
      </w:r>
    </w:p>
    <w:p>
      <w:pPr>
        <w:spacing w:after="100"/>
      </w:pPr>
      <w:r>
        <w:t xml:space="preserve">HR schedules the session considering the academic calendar, teaching schedules, and participant availability. For K-12, avoid scheduling during testing windows or parent conference weeks. For higher education, align with professional development days or intersession periods. Send calendar invitations at least 3 weeks in advance with the agenda and any pre-work.</w:t>
      </w:r>
    </w:p>
    <w:p>
      <w:pPr>
        <w:pStyle w:val="ListParagraph"/>
        <w:numPr>
          <w:ilvl w:val="1"/>
          <w:numId w:val="1"/>
        </w:numPr>
        <w:spacing w:after="40"/>
      </w:pPr>
      <w:r>
        <w:t xml:space="preserve">Select a date that avoids conflicts with exams, registration, and major academic events</w:t>
      </w:r>
    </w:p>
    <w:p>
      <w:pPr>
        <w:pStyle w:val="ListParagraph"/>
        <w:numPr>
          <w:ilvl w:val="1"/>
          <w:numId w:val="1"/>
        </w:numPr>
        <w:spacing w:after="40"/>
      </w:pPr>
      <w:r>
        <w:t xml:space="preserve">Reserve the room or set up the virtual meeting link (Zoom, Teams)</w:t>
      </w:r>
    </w:p>
    <w:p>
      <w:pPr>
        <w:pStyle w:val="ListParagraph"/>
        <w:numPr>
          <w:ilvl w:val="1"/>
          <w:numId w:val="1"/>
        </w:numPr>
        <w:spacing w:after="40"/>
      </w:pPr>
      <w:r>
        <w:t xml:space="preserve">Arrange substitute teacher coverage for K-12 educators attending daytime sessions</w:t>
      </w:r>
    </w:p>
    <w:p>
      <w:pPr>
        <w:pStyle w:val="ListParagraph"/>
        <w:numPr>
          <w:ilvl w:val="1"/>
          <w:numId w:val="1"/>
        </w:numPr>
        <w:spacing w:after="40"/>
      </w:pPr>
      <w:r>
        <w:t xml:space="preserve">Send calendar invitations with agenda, location, and pre-work requirements</w:t>
      </w:r>
    </w:p>
    <w:p>
      <w:pPr>
        <w:pStyle w:val="ListParagraph"/>
        <w:numPr>
          <w:ilvl w:val="1"/>
          <w:numId w:val="1"/>
        </w:numPr>
        <w:spacing w:after="40"/>
      </w:pPr>
      <w:r>
        <w:t xml:space="preserve">Confirm technology setup: projector, audio, screen sharing, recording capability</w:t>
      </w:r>
    </w:p>
    <w:p>
      <w:pPr>
        <w:spacing w:after="100"/>
      </w:pPr>
      <w:r>
        <w:rPr>
          <w:i/>
          <w:iCs/>
          <w:color w:val="1F7A4D"/>
        </w:rPr>
        <w:t xml:space="preserve">Tip: Offer each mandatory training session at least twice — once in person and once virtually — to accommodate different schedules and campus locations. Record every session for those who cannot attend either.</w:t>
      </w:r>
    </w:p>
    <w:p>
      <w:pPr>
        <w:pStyle w:val="Heading3"/>
        <w:spacing w:after="40" w:before="160"/>
      </w:pPr>
      <w:r>
        <w:t xml:space="preserve">Step 4: Prepare the training environment</w:t>
      </w:r>
    </w:p>
    <w:p>
      <w:pPr>
        <w:spacing w:after="100"/>
      </w:pPr>
      <w:r>
        <w:t xml:space="preserve">On the day of the session, the training coordinator confirms that the room is set up, technology works, materials are printed or distributed digitally, and the attendance tracking system is ready. For virtual sessions, test the video conferencing setup 30 minutes before start time and have a backup plan if the connection fails.</w:t>
      </w:r>
    </w:p>
    <w:p>
      <w:pPr>
        <w:pStyle w:val="ListParagraph"/>
        <w:numPr>
          <w:ilvl w:val="1"/>
          <w:numId w:val="1"/>
        </w:numPr>
        <w:spacing w:after="40"/>
      </w:pPr>
      <w:r>
        <w:t xml:space="preserve">Test classroom technology: projector, microphone, screen sharing</w:t>
      </w:r>
    </w:p>
    <w:p>
      <w:pPr>
        <w:pStyle w:val="ListParagraph"/>
        <w:numPr>
          <w:ilvl w:val="1"/>
          <w:numId w:val="1"/>
        </w:numPr>
        <w:spacing w:after="40"/>
      </w:pPr>
      <w:r>
        <w:t xml:space="preserve">Distribute printed materials or share digital handouts via email or LMS</w:t>
      </w:r>
    </w:p>
    <w:p>
      <w:pPr>
        <w:pStyle w:val="ListParagraph"/>
        <w:numPr>
          <w:ilvl w:val="1"/>
          <w:numId w:val="1"/>
        </w:numPr>
        <w:spacing w:after="40"/>
      </w:pPr>
      <w:r>
        <w:t xml:space="preserve">Set up the attendance sign-in sheet (physical or digital)</w:t>
      </w:r>
    </w:p>
    <w:p>
      <w:pPr>
        <w:pStyle w:val="ListParagraph"/>
        <w:numPr>
          <w:ilvl w:val="1"/>
          <w:numId w:val="1"/>
        </w:numPr>
        <w:spacing w:after="40"/>
      </w:pPr>
      <w:r>
        <w:t xml:space="preserve">For virtual sessions: open the meeting room early and test screen sharing</w:t>
      </w:r>
    </w:p>
    <w:p>
      <w:pPr>
        <w:pStyle w:val="ListParagraph"/>
        <w:numPr>
          <w:ilvl w:val="1"/>
          <w:numId w:val="1"/>
        </w:numPr>
        <w:spacing w:after="40"/>
      </w:pPr>
      <w:r>
        <w:t xml:space="preserve">Prepare the assessment materials (quiz, scenario cards, evaluation forms)</w:t>
      </w:r>
    </w:p>
    <w:p>
      <w:pPr>
        <w:pStyle w:val="Heading3"/>
        <w:spacing w:after="40" w:before="160"/>
      </w:pPr>
      <w:r>
        <w:t xml:space="preserve">Step 5: Deliver the training session</w:t>
      </w:r>
    </w:p>
    <w:p>
      <w:pPr>
        <w:spacing w:after="100"/>
      </w:pPr>
      <w:r>
        <w:t xml:space="preserve">The facilitator delivers the training following the approved curriculum. Start by stating the learning objectives. Keep compliance training focused and factual — no filler. Include interactive elements: scenario discussions for Title IX, hands-on exercises for technology training, and Q&amp;A for policy changes. Record the session for asynchronous access.</w:t>
      </w:r>
    </w:p>
    <w:p>
      <w:pPr>
        <w:pStyle w:val="ListParagraph"/>
        <w:numPr>
          <w:ilvl w:val="1"/>
          <w:numId w:val="1"/>
        </w:numPr>
        <w:spacing w:after="40"/>
      </w:pPr>
      <w:r>
        <w:t xml:space="preserve">State learning objectives at the start of the session</w:t>
      </w:r>
    </w:p>
    <w:p>
      <w:pPr>
        <w:pStyle w:val="ListParagraph"/>
        <w:numPr>
          <w:ilvl w:val="1"/>
          <w:numId w:val="1"/>
        </w:numPr>
        <w:spacing w:after="40"/>
      </w:pPr>
      <w:r>
        <w:t xml:space="preserve">Deliver content following the approved curriculum and timeline</w:t>
      </w:r>
    </w:p>
    <w:p>
      <w:pPr>
        <w:pStyle w:val="ListParagraph"/>
        <w:numPr>
          <w:ilvl w:val="1"/>
          <w:numId w:val="1"/>
        </w:numPr>
        <w:spacing w:after="40"/>
      </w:pPr>
      <w:r>
        <w:t xml:space="preserve">Include interactive elements: scenarios, hands-on practice, group discussion</w:t>
      </w:r>
    </w:p>
    <w:p>
      <w:pPr>
        <w:pStyle w:val="ListParagraph"/>
        <w:numPr>
          <w:ilvl w:val="1"/>
          <w:numId w:val="1"/>
        </w:numPr>
        <w:spacing w:after="40"/>
      </w:pPr>
      <w:r>
        <w:t xml:space="preserve">Allow time for Q&amp;A and address institution-specific questions</w:t>
      </w:r>
    </w:p>
    <w:p>
      <w:pPr>
        <w:pStyle w:val="ListParagraph"/>
        <w:numPr>
          <w:ilvl w:val="1"/>
          <w:numId w:val="1"/>
        </w:numPr>
        <w:spacing w:after="40"/>
      </w:pPr>
      <w:r>
        <w:t xml:space="preserve">Record the session with Glyde or screen recording software for future reference</w:t>
      </w:r>
    </w:p>
    <w:p>
      <w:pPr>
        <w:spacing w:after="100"/>
      </w:pPr>
      <w:r>
        <w:rPr>
          <w:i/>
          <w:iCs/>
          <w:color w:val="1F7A4D"/>
        </w:rPr>
        <w:t xml:space="preserve">Tip: For FERPA training, use real-world scenarios from education (e.g., 'A parent calls asking about their adult child's grades — what do you do?'). Abstract compliance concepts stick better when tied to situations faculty and staff actually encounter.</w:t>
      </w:r>
    </w:p>
    <w:p>
      <w:pPr>
        <w:pStyle w:val="Heading3"/>
        <w:spacing w:after="40" w:before="160"/>
      </w:pPr>
      <w:r>
        <w:t xml:space="preserve">Step 6: Administer the assessment</w:t>
      </w:r>
    </w:p>
    <w:p>
      <w:pPr>
        <w:spacing w:after="100"/>
      </w:pPr>
      <w:r>
        <w:t xml:space="preserve">After the training, administer the assessment to verify participant understanding. For compliance training, a scored quiz with a passing threshold (typically 80%) is required for audit documentation. For professional development, a practical demonstration or reflection exercise is more appropriate. Record all scores in the LMS or HRIS.</w:t>
      </w:r>
    </w:p>
    <w:p>
      <w:pPr>
        <w:pStyle w:val="ListParagraph"/>
        <w:numPr>
          <w:ilvl w:val="1"/>
          <w:numId w:val="1"/>
        </w:numPr>
        <w:spacing w:after="40"/>
      </w:pPr>
      <w:r>
        <w:t xml:space="preserve">Administer the quiz, scenario exercise, or practical assessment</w:t>
      </w:r>
    </w:p>
    <w:p>
      <w:pPr>
        <w:pStyle w:val="ListParagraph"/>
        <w:numPr>
          <w:ilvl w:val="1"/>
          <w:numId w:val="1"/>
        </w:numPr>
        <w:spacing w:after="40"/>
      </w:pPr>
      <w:r>
        <w:t xml:space="preserve">Score assessments and identify participants who need remediation</w:t>
      </w:r>
    </w:p>
    <w:p>
      <w:pPr>
        <w:pStyle w:val="ListParagraph"/>
        <w:numPr>
          <w:ilvl w:val="1"/>
          <w:numId w:val="1"/>
        </w:numPr>
        <w:spacing w:after="40"/>
      </w:pPr>
      <w:r>
        <w:t xml:space="preserve">Record scores and pass/fail status in the LMS or HRIS</w:t>
      </w:r>
    </w:p>
    <w:p>
      <w:pPr>
        <w:pStyle w:val="ListParagraph"/>
        <w:numPr>
          <w:ilvl w:val="1"/>
          <w:numId w:val="1"/>
        </w:numPr>
        <w:spacing w:after="40"/>
      </w:pPr>
      <w:r>
        <w:t xml:space="preserve">Schedule retake sessions for participants who did not pass</w:t>
      </w:r>
    </w:p>
    <w:p>
      <w:pPr>
        <w:spacing w:after="100"/>
      </w:pPr>
      <w:r>
        <w:rPr>
          <w:i/>
          <w:iCs/>
          <w:color w:val="B45309"/>
        </w:rPr>
        <w:t xml:space="preserve">Warning: For compliance training, assessment scores are audit evidence. If you run FERPA training without a graded assessment, accreditation reviewers and auditors may not accept it as proof of training completion.</w:t>
      </w:r>
    </w:p>
    <w:p>
      <w:pPr>
        <w:pStyle w:val="Heading3"/>
        <w:spacing w:after="40" w:before="160"/>
      </w:pPr>
      <w:r>
        <w:t xml:space="preserve">Step 7: Record attendance and completion</w:t>
      </w:r>
    </w:p>
    <w:p>
      <w:pPr>
        <w:spacing w:after="100"/>
      </w:pPr>
      <w:r>
        <w:t xml:space="preserve">Log attendance and completion data in the institution's HRIS, LMS, or Workday system. For compliance training, this record must include the employee name, training topic, date, facilitator name, and assessment score. This data feeds into accreditation evidence and FERPA compliance documentation.</w:t>
      </w:r>
    </w:p>
    <w:p>
      <w:pPr>
        <w:pStyle w:val="ListParagraph"/>
        <w:numPr>
          <w:ilvl w:val="1"/>
          <w:numId w:val="1"/>
        </w:numPr>
        <w:spacing w:after="40"/>
      </w:pPr>
      <w:r>
        <w:t xml:space="preserve">Enter attendance records into the HRIS or LMS within 2 business days</w:t>
      </w:r>
    </w:p>
    <w:p>
      <w:pPr>
        <w:pStyle w:val="ListParagraph"/>
        <w:numPr>
          <w:ilvl w:val="1"/>
          <w:numId w:val="1"/>
        </w:numPr>
        <w:spacing w:after="40"/>
      </w:pPr>
      <w:r>
        <w:t xml:space="preserve">Generate completion certificates for mandatory compliance training</w:t>
      </w:r>
    </w:p>
    <w:p>
      <w:pPr>
        <w:pStyle w:val="ListParagraph"/>
        <w:numPr>
          <w:ilvl w:val="1"/>
          <w:numId w:val="1"/>
        </w:numPr>
        <w:spacing w:after="40"/>
      </w:pPr>
      <w:r>
        <w:t xml:space="preserve">Flag employees who were absent and schedule make-up sessions</w:t>
      </w:r>
    </w:p>
    <w:p>
      <w:pPr>
        <w:pStyle w:val="ListParagraph"/>
        <w:numPr>
          <w:ilvl w:val="1"/>
          <w:numId w:val="1"/>
        </w:numPr>
        <w:spacing w:after="40"/>
      </w:pPr>
      <w:r>
        <w:t xml:space="preserve">Send completion confirmations to department chairs and principals</w:t>
      </w:r>
    </w:p>
    <w:p>
      <w:pPr>
        <w:pStyle w:val="Heading3"/>
        <w:spacing w:after="40" w:before="160"/>
      </w:pPr>
      <w:r>
        <w:t xml:space="preserve">Step 8: Collect feedback and evaluate effectiveness</w:t>
      </w:r>
    </w:p>
    <w:p>
      <w:pPr>
        <w:spacing w:after="100"/>
      </w:pPr>
      <w:r>
        <w:t xml:space="preserve">Distribute a brief evaluation survey (5-7 questions) immediately after the session. Ask about content relevance, facilitator effectiveness, and practical applicability. Review feedback within one week and use it to improve future sessions. Aggregate evaluation data for annual training program reporting.</w:t>
      </w:r>
    </w:p>
    <w:p>
      <w:pPr>
        <w:pStyle w:val="ListParagraph"/>
        <w:numPr>
          <w:ilvl w:val="1"/>
          <w:numId w:val="1"/>
        </w:numPr>
        <w:spacing w:after="40"/>
      </w:pPr>
      <w:r>
        <w:t xml:space="preserve">Send the evaluation survey via email or the LMS immediately after the session</w:t>
      </w:r>
    </w:p>
    <w:p>
      <w:pPr>
        <w:pStyle w:val="ListParagraph"/>
        <w:numPr>
          <w:ilvl w:val="1"/>
          <w:numId w:val="1"/>
        </w:numPr>
        <w:spacing w:after="40"/>
      </w:pPr>
      <w:r>
        <w:t xml:space="preserve">Review feedback within 7 days and identify trends</w:t>
      </w:r>
    </w:p>
    <w:p>
      <w:pPr>
        <w:pStyle w:val="ListParagraph"/>
        <w:numPr>
          <w:ilvl w:val="1"/>
          <w:numId w:val="1"/>
        </w:numPr>
        <w:spacing w:after="40"/>
      </w:pPr>
      <w:r>
        <w:t xml:space="preserve">Share relevant feedback with the facilitator for improvement</w:t>
      </w:r>
    </w:p>
    <w:p>
      <w:pPr>
        <w:pStyle w:val="ListParagraph"/>
        <w:numPr>
          <w:ilvl w:val="1"/>
          <w:numId w:val="1"/>
        </w:numPr>
        <w:spacing w:after="40"/>
      </w:pPr>
      <w:r>
        <w:t xml:space="preserve">Compile aggregate evaluation data for the annual training effectiveness report</w:t>
      </w:r>
    </w:p>
    <w:p>
      <w:pPr>
        <w:pStyle w:val="Heading3"/>
        <w:spacing w:after="40" w:before="160"/>
      </w:pPr>
      <w:r>
        <w:t xml:space="preserve">Step 9: Follow up on incomplete training</w:t>
      </w:r>
    </w:p>
    <w:p>
      <w:pPr>
        <w:spacing w:after="100"/>
      </w:pPr>
      <w:r>
        <w:t xml:space="preserve">Within 5 business days, contact employees who missed the session or did not pass the assessment. Schedule make-up sessions or assign the self-paced LMS module with a completion deadline. For mandatory compliance training, escalate non-completion to the employee's supervisor after two missed attempts.</w:t>
      </w:r>
    </w:p>
    <w:p>
      <w:pPr>
        <w:pStyle w:val="ListParagraph"/>
        <w:numPr>
          <w:ilvl w:val="1"/>
          <w:numId w:val="1"/>
        </w:numPr>
        <w:spacing w:after="40"/>
      </w:pPr>
      <w:r>
        <w:t xml:space="preserve">Generate a list of employees who missed the session or did not pass</w:t>
      </w:r>
    </w:p>
    <w:p>
      <w:pPr>
        <w:pStyle w:val="ListParagraph"/>
        <w:numPr>
          <w:ilvl w:val="1"/>
          <w:numId w:val="1"/>
        </w:numPr>
        <w:spacing w:after="40"/>
      </w:pPr>
      <w:r>
        <w:t xml:space="preserve">Send individual follow-up emails with make-up session dates or LMS module links</w:t>
      </w:r>
    </w:p>
    <w:p>
      <w:pPr>
        <w:pStyle w:val="ListParagraph"/>
        <w:numPr>
          <w:ilvl w:val="1"/>
          <w:numId w:val="1"/>
        </w:numPr>
        <w:spacing w:after="40"/>
      </w:pPr>
      <w:r>
        <w:t xml:space="preserve">Set a completion deadline: 10 business days for compliance training</w:t>
      </w:r>
    </w:p>
    <w:p>
      <w:pPr>
        <w:pStyle w:val="ListParagraph"/>
        <w:numPr>
          <w:ilvl w:val="1"/>
          <w:numId w:val="1"/>
        </w:numPr>
        <w:spacing w:after="40"/>
      </w:pPr>
      <w:r>
        <w:t xml:space="preserve">Escalate non-completion to the supervisor if the deadline passes</w:t>
      </w:r>
    </w:p>
    <w:p>
      <w:pPr>
        <w:pStyle w:val="Heading2"/>
        <w:spacing w:after="100" w:before="240"/>
      </w:pPr>
      <w:r>
        <w:t xml:space="preserve">Completion Checklist</w:t>
      </w:r>
    </w:p>
    <w:p>
      <w:pPr>
        <w:spacing w:after="40"/>
      </w:pPr>
      <w:r>
        <w:t xml:space="preserve">☐  Training needs assessment completed for the academic year</w:t>
      </w:r>
    </w:p>
    <w:p>
      <w:pPr>
        <w:spacing w:after="40"/>
      </w:pPr>
      <w:r>
        <w:t xml:space="preserve">☐  Annual training calendar published and distributed</w:t>
      </w:r>
    </w:p>
    <w:p>
      <w:pPr>
        <w:spacing w:after="40"/>
      </w:pPr>
      <w:r>
        <w:t xml:space="preserve">☐  Training materials developed, reviewed, and approved</w:t>
      </w:r>
    </w:p>
    <w:p>
      <w:pPr>
        <w:spacing w:after="40"/>
      </w:pPr>
      <w:r>
        <w:t xml:space="preserve">☐  Sessions scheduled with adequate notice (3+ weeks)</w:t>
      </w:r>
    </w:p>
    <w:p>
      <w:pPr>
        <w:spacing w:after="40"/>
      </w:pPr>
      <w:r>
        <w:t xml:space="preserve">☐  Substitute coverage arranged for K-12 educators (if applicable)</w:t>
      </w:r>
    </w:p>
    <w:p>
      <w:pPr>
        <w:spacing w:after="40"/>
      </w:pPr>
      <w:r>
        <w:t xml:space="preserve">☐  Training environment set up and technology tested</w:t>
      </w:r>
    </w:p>
    <w:p>
      <w:pPr>
        <w:spacing w:after="40"/>
      </w:pPr>
      <w:r>
        <w:t xml:space="preserve">☐  Session delivered following the approved curriculum</w:t>
      </w:r>
    </w:p>
    <w:p>
      <w:pPr>
        <w:spacing w:after="40"/>
      </w:pPr>
      <w:r>
        <w:t xml:space="preserve">☐  Assessment administered and scored</w:t>
      </w:r>
    </w:p>
    <w:p>
      <w:pPr>
        <w:spacing w:after="40"/>
      </w:pPr>
      <w:r>
        <w:t xml:space="preserve">☐  Attendance and completion records entered in the HRIS or LMS</w:t>
      </w:r>
    </w:p>
    <w:p>
      <w:pPr>
        <w:spacing w:after="40"/>
      </w:pPr>
      <w:r>
        <w:t xml:space="preserve">☐  Completion certificates generated for compliance training</w:t>
      </w:r>
    </w:p>
    <w:p>
      <w:pPr>
        <w:spacing w:after="40"/>
      </w:pPr>
      <w:r>
        <w:t xml:space="preserve">☐  Feedback survey distributed and reviewed</w:t>
      </w:r>
    </w:p>
    <w:p>
      <w:pPr>
        <w:spacing w:after="40"/>
      </w:pPr>
      <w:r>
        <w:t xml:space="preserve">☐  Make-up sessions scheduled for absent or non-passing participants</w:t>
      </w:r>
    </w:p>
    <w:p>
      <w:pPr>
        <w:spacing w:after="40"/>
      </w:pPr>
      <w:r>
        <w:t xml:space="preserve">☐  Annual training effectiveness report compiled</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Mandatory training completion rate</w:t>
            </w:r>
          </w:p>
        </w:tc>
        <w:tc>
          <w:tcPr>
            <w:tcMar>
              <w:top w:type="dxa" w:w="60"/>
              <w:left w:type="dxa" w:w="120"/>
              <w:bottom w:type="dxa" w:w="60"/>
              <w:right w:type="dxa" w:w="120"/>
            </w:tcMar>
          </w:tcPr>
          <w:p>
            <w:r>
              <w:rPr>
                <w:b w:val="false"/>
                <w:bCs w:val="false"/>
              </w:rPr>
              <w:t xml:space="preserve">100% of employees within 30 days of the scheduled session</w:t>
            </w:r>
          </w:p>
        </w:tc>
      </w:tr>
      <w:tr>
        <w:trPr>
          <w:tblHeader w:val="false"/>
        </w:trPr>
        <w:tc>
          <w:tcPr>
            <w:tcMar>
              <w:top w:type="dxa" w:w="60"/>
              <w:left w:type="dxa" w:w="120"/>
              <w:bottom w:type="dxa" w:w="60"/>
              <w:right w:type="dxa" w:w="120"/>
            </w:tcMar>
          </w:tcPr>
          <w:p>
            <w:r>
              <w:rPr>
                <w:b w:val="false"/>
                <w:bCs w:val="false"/>
              </w:rPr>
              <w:t xml:space="preserve">Assessment pass rate</w:t>
            </w:r>
          </w:p>
        </w:tc>
        <w:tc>
          <w:tcPr>
            <w:tcMar>
              <w:top w:type="dxa" w:w="60"/>
              <w:left w:type="dxa" w:w="120"/>
              <w:bottom w:type="dxa" w:w="60"/>
              <w:right w:type="dxa" w:w="120"/>
            </w:tcMar>
          </w:tcPr>
          <w:p>
            <w:r>
              <w:rPr>
                <w:b w:val="false"/>
                <w:bCs w:val="false"/>
              </w:rPr>
              <w:t xml:space="preserve">95% or higher on first attempt</w:t>
            </w:r>
          </w:p>
        </w:tc>
      </w:tr>
      <w:tr>
        <w:trPr>
          <w:tblHeader w:val="false"/>
        </w:trPr>
        <w:tc>
          <w:tcPr>
            <w:tcMar>
              <w:top w:type="dxa" w:w="60"/>
              <w:left w:type="dxa" w:w="120"/>
              <w:bottom w:type="dxa" w:w="60"/>
              <w:right w:type="dxa" w:w="120"/>
            </w:tcMar>
          </w:tcPr>
          <w:p>
            <w:r>
              <w:rPr>
                <w:b w:val="false"/>
                <w:bCs w:val="false"/>
              </w:rPr>
              <w:t xml:space="preserve">Training satisfaction score</w:t>
            </w:r>
          </w:p>
        </w:tc>
        <w:tc>
          <w:tcPr>
            <w:tcMar>
              <w:top w:type="dxa" w:w="60"/>
              <w:left w:type="dxa" w:w="120"/>
              <w:bottom w:type="dxa" w:w="60"/>
              <w:right w:type="dxa" w:w="120"/>
            </w:tcMar>
          </w:tcPr>
          <w:p>
            <w:r>
              <w:rPr>
                <w:b w:val="false"/>
                <w:bCs w:val="false"/>
              </w:rPr>
              <w:t xml:space="preserve">4.0+ out of 5.0 on post-session evaluations</w:t>
            </w:r>
          </w:p>
        </w:tc>
      </w:tr>
      <w:tr>
        <w:trPr>
          <w:tblHeader w:val="false"/>
        </w:trPr>
        <w:tc>
          <w:tcPr>
            <w:tcMar>
              <w:top w:type="dxa" w:w="60"/>
              <w:left w:type="dxa" w:w="120"/>
              <w:bottom w:type="dxa" w:w="60"/>
              <w:right w:type="dxa" w:w="120"/>
            </w:tcMar>
          </w:tcPr>
          <w:p>
            <w:r>
              <w:rPr>
                <w:b w:val="false"/>
                <w:bCs w:val="false"/>
              </w:rPr>
              <w:t xml:space="preserve">Make-up session completion</w:t>
            </w:r>
          </w:p>
        </w:tc>
        <w:tc>
          <w:tcPr>
            <w:tcMar>
              <w:top w:type="dxa" w:w="60"/>
              <w:left w:type="dxa" w:w="120"/>
              <w:bottom w:type="dxa" w:w="60"/>
              <w:right w:type="dxa" w:w="120"/>
            </w:tcMar>
          </w:tcPr>
          <w:p>
            <w:r>
              <w:rPr>
                <w:b w:val="false"/>
                <w:bCs w:val="false"/>
              </w:rPr>
              <w:t xml:space="preserve">100% within 10 business days of the original session</w:t>
            </w:r>
          </w:p>
        </w:tc>
      </w:tr>
    </w:tbl>
    <w:p>
      <w:pPr>
        <w:pStyle w:val="Heading2"/>
        <w:spacing w:after="100" w:before="240"/>
      </w:pPr>
      <w:r>
        <w:t xml:space="preserve">Revision Schedule</w:t>
      </w:r>
    </w:p>
    <w:p>
      <w:pPr>
        <w:spacing w:after="100"/>
      </w:pPr>
      <w:r>
        <w:t xml:space="preserve">Before each academic year, or immediately after changes to FERPA, Title IX regulations, state education codes, or accreditation requirements.</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Template: Training Delivery for Education</dc:title>
  <dc:creator>Glyde</dc:creator>
  <dc:description>Free training delivery SOP template for education HR teams. Step-by-step procedures for faculty development, staff training, and compliance training at schools and universities.</dc:description>
  <cp:lastModifiedBy>Un-named</cp:lastModifiedBy>
  <cp:revision>1</cp:revision>
  <dcterms:created xsi:type="dcterms:W3CDTF">2026-07-22T08:34:36.310Z</dcterms:created>
  <dcterms:modified xsi:type="dcterms:W3CDTF">2026-07-22T08:34:36.310Z</dcterms:modified>
</cp:coreProperties>
</file>

<file path=docProps/custom.xml><?xml version="1.0" encoding="utf-8"?>
<Properties xmlns="http://schemas.openxmlformats.org/officeDocument/2006/custom-properties" xmlns:vt="http://schemas.openxmlformats.org/officeDocument/2006/docPropsVTypes"/>
</file>