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Vendor Management SOP Template for Accounting &amp; Bookkeeping Teams</w:t>
      </w:r>
    </w:p>
    <w:p>
      <w:pPr>
        <w:spacing w:after="200"/>
      </w:pPr>
      <w:r>
        <w:rPr>
          <w:i/>
          <w:iCs/>
          <w:color w:val="6B7280"/>
        </w:rPr>
        <w:t xml:space="preserve">Free Vendor Management SOP template designed for Accounting &amp; Bookkeeping Operations teams. Includes step-by-step procedures, checklist, roles, and KPIs.</w:t>
      </w:r>
    </w:p>
    <w:p>
      <w:pPr>
        <w:pStyle w:val="Heading2"/>
        <w:spacing w:after="100" w:before="240"/>
      </w:pPr>
      <w:r>
        <w:t xml:space="preserve">Purpose</w:t>
      </w:r>
    </w:p>
    <w:p>
      <w:pPr>
        <w:spacing w:after="100"/>
      </w:pPr>
      <w:r>
        <w:t xml:space="preserve">Define a standardized process for evaluating, onboarding, monitoring, and managing third-party vendors that provide services to an accounting or bookkeeping firm—including software providers (QuickBooks, Xero, CCH Axcess), outsourced bookkeeping partners, IT support, document storage, and office supply vendors—to ensure cost control, data security, and regulatory compliance.</w:t>
      </w:r>
    </w:p>
    <w:p>
      <w:pPr>
        <w:pStyle w:val="Heading2"/>
        <w:spacing w:after="100" w:before="240"/>
      </w:pPr>
      <w:r>
        <w:t xml:space="preserve">Scope</w:t>
      </w:r>
    </w:p>
    <w:p>
      <w:pPr>
        <w:spacing w:after="100"/>
      </w:pPr>
      <w:r>
        <w:t xml:space="preserve">Applies to all third-party vendor relationships where the firm exchanges payment for goods, services, or software licenses, including SaaS subscriptions, outsourced tax preparation services, office supplies, and professional services such as legal counsel or IT support.</w:t>
      </w:r>
    </w:p>
    <w:p>
      <w:pPr>
        <w:pStyle w:val="Heading2"/>
        <w:spacing w:after="100" w:before="240"/>
      </w:pPr>
      <w:r>
        <w:t xml:space="preserve">Prerequisites</w:t>
      </w:r>
    </w:p>
    <w:p>
      <w:pPr>
        <w:pStyle w:val="ListParagraph"/>
        <w:numPr>
          <w:ilvl w:val="0"/>
          <w:numId w:val="1"/>
        </w:numPr>
        <w:spacing w:after="40"/>
      </w:pPr>
      <w:r>
        <w:t xml:space="preserve">Approved vendor evaluation scorecard template with weighted criteria for accounting-specific needs</w:t>
      </w:r>
    </w:p>
    <w:p>
      <w:pPr>
        <w:pStyle w:val="ListParagraph"/>
        <w:numPr>
          <w:ilvl w:val="0"/>
          <w:numId w:val="1"/>
        </w:numPr>
        <w:spacing w:after="40"/>
      </w:pPr>
      <w:r>
        <w:t xml:space="preserve">W-9 collection process configured in the firm's document management system</w:t>
      </w:r>
    </w:p>
    <w:p>
      <w:pPr>
        <w:pStyle w:val="ListParagraph"/>
        <w:numPr>
          <w:ilvl w:val="0"/>
          <w:numId w:val="1"/>
        </w:numPr>
        <w:spacing w:after="40"/>
      </w:pPr>
      <w:r>
        <w:t xml:space="preserve">QuickBooks or Xero vendor records set up with proper 1099 tracking categories</w:t>
      </w:r>
    </w:p>
    <w:p>
      <w:pPr>
        <w:pStyle w:val="ListParagraph"/>
        <w:numPr>
          <w:ilvl w:val="0"/>
          <w:numId w:val="1"/>
        </w:numPr>
        <w:spacing w:after="40"/>
      </w:pPr>
      <w:r>
        <w:t xml:space="preserve">Data security questionnaire aligned with IRS Publication 4557 (Safeguarding Taxpayer Data)</w:t>
      </w:r>
    </w:p>
    <w:p>
      <w:pPr>
        <w:pStyle w:val="ListParagraph"/>
        <w:numPr>
          <w:ilvl w:val="0"/>
          <w:numId w:val="1"/>
        </w:numPr>
        <w:spacing w:after="40"/>
      </w:pPr>
      <w:r>
        <w:t xml:space="preserve">Karbon workflow template for vendor onboarding and annual review tasks</w:t>
      </w:r>
    </w:p>
    <w:p>
      <w:pPr>
        <w:pStyle w:val="ListParagraph"/>
        <w:numPr>
          <w:ilvl w:val="0"/>
          <w:numId w:val="1"/>
        </w:numPr>
        <w:spacing w:after="40"/>
      </w:pPr>
      <w:r>
        <w:t xml:space="preserve">Current list of all active vendors with contract expiration dates</w:t>
      </w:r>
    </w:p>
    <w:p>
      <w:pPr>
        <w:pStyle w:val="Heading2"/>
        <w:spacing w:after="100" w:before="240"/>
      </w:pPr>
      <w:r>
        <w:t xml:space="preserve">Roles &amp; Responsibilities</w:t>
      </w:r>
    </w:p>
    <w:p>
      <w:pPr>
        <w:spacing w:after="40" w:before="120"/>
      </w:pPr>
      <w:r>
        <w:rPr>
          <w:b/>
          <w:bCs/>
        </w:rPr>
        <w:t xml:space="preserve">Practice Owner / Managing Partner</w:t>
      </w:r>
    </w:p>
    <w:p>
      <w:pPr>
        <w:pStyle w:val="ListParagraph"/>
        <w:numPr>
          <w:ilvl w:val="0"/>
          <w:numId w:val="1"/>
        </w:numPr>
        <w:spacing w:after="40"/>
      </w:pPr>
      <w:r>
        <w:t xml:space="preserve">Approve new vendor engagements exceeding $5,000 annually</w:t>
      </w:r>
    </w:p>
    <w:p>
      <w:pPr>
        <w:pStyle w:val="ListParagraph"/>
        <w:numPr>
          <w:ilvl w:val="0"/>
          <w:numId w:val="1"/>
        </w:numPr>
        <w:spacing w:after="40"/>
      </w:pPr>
      <w:r>
        <w:t xml:space="preserve">Review vendor performance summaries quarterly</w:t>
      </w:r>
    </w:p>
    <w:p>
      <w:pPr>
        <w:pStyle w:val="ListParagraph"/>
        <w:numPr>
          <w:ilvl w:val="0"/>
          <w:numId w:val="1"/>
        </w:numPr>
        <w:spacing w:after="40"/>
      </w:pPr>
      <w:r>
        <w:t xml:space="preserve">Make final decisions on vendor renewals and terminations</w:t>
      </w:r>
    </w:p>
    <w:p>
      <w:pPr>
        <w:spacing w:after="40" w:before="120"/>
      </w:pPr>
      <w:r>
        <w:rPr>
          <w:b/>
          <w:bCs/>
        </w:rPr>
        <w:t xml:space="preserve">Office Manager / Operations Lead</w:t>
      </w:r>
    </w:p>
    <w:p>
      <w:pPr>
        <w:pStyle w:val="ListParagraph"/>
        <w:numPr>
          <w:ilvl w:val="0"/>
          <w:numId w:val="1"/>
        </w:numPr>
        <w:spacing w:after="40"/>
      </w:pPr>
      <w:r>
        <w:t xml:space="preserve">Conduct initial vendor evaluations using the firm's scorecard</w:t>
      </w:r>
    </w:p>
    <w:p>
      <w:pPr>
        <w:pStyle w:val="ListParagraph"/>
        <w:numPr>
          <w:ilvl w:val="0"/>
          <w:numId w:val="1"/>
        </w:numPr>
        <w:spacing w:after="40"/>
      </w:pPr>
      <w:r>
        <w:t xml:space="preserve">Manage the onboarding workflow in Karbon for new vendors</w:t>
      </w:r>
    </w:p>
    <w:p>
      <w:pPr>
        <w:pStyle w:val="ListParagraph"/>
        <w:numPr>
          <w:ilvl w:val="0"/>
          <w:numId w:val="1"/>
        </w:numPr>
        <w:spacing w:after="40"/>
      </w:pPr>
      <w:r>
        <w:t xml:space="preserve">Track contract renewal dates and initiate review 60 days before expiration</w:t>
      </w:r>
    </w:p>
    <w:p>
      <w:pPr>
        <w:pStyle w:val="ListParagraph"/>
        <w:numPr>
          <w:ilvl w:val="0"/>
          <w:numId w:val="1"/>
        </w:numPr>
        <w:spacing w:after="40"/>
      </w:pPr>
      <w:r>
        <w:t xml:space="preserve">Maintain the vendor master list in QuickBooks or Xero</w:t>
      </w:r>
    </w:p>
    <w:p>
      <w:pPr>
        <w:spacing w:after="40" w:before="120"/>
      </w:pPr>
      <w:r>
        <w:rPr>
          <w:b/>
          <w:bCs/>
        </w:rPr>
        <w:t xml:space="preserve">Staff Accountant</w:t>
      </w:r>
    </w:p>
    <w:p>
      <w:pPr>
        <w:pStyle w:val="ListParagraph"/>
        <w:numPr>
          <w:ilvl w:val="0"/>
          <w:numId w:val="1"/>
        </w:numPr>
        <w:spacing w:after="40"/>
      </w:pPr>
      <w:r>
        <w:t xml:space="preserve">Collect W-9 forms from new vendors before the first payment is issued</w:t>
      </w:r>
    </w:p>
    <w:p>
      <w:pPr>
        <w:pStyle w:val="ListParagraph"/>
        <w:numPr>
          <w:ilvl w:val="0"/>
          <w:numId w:val="1"/>
        </w:numPr>
        <w:spacing w:after="40"/>
      </w:pPr>
      <w:r>
        <w:t xml:space="preserve">Verify vendor invoices against purchase orders and contracted rates in QuickBooks or Xero</w:t>
      </w:r>
    </w:p>
    <w:p>
      <w:pPr>
        <w:pStyle w:val="ListParagraph"/>
        <w:numPr>
          <w:ilvl w:val="0"/>
          <w:numId w:val="1"/>
        </w:numPr>
        <w:spacing w:after="40"/>
      </w:pPr>
      <w:r>
        <w:t xml:space="preserve">Flag billing discrepancies to the Operations Lead within 48 hours</w:t>
      </w:r>
    </w:p>
    <w:p>
      <w:pPr>
        <w:spacing w:after="40" w:before="120"/>
      </w:pPr>
      <w:r>
        <w:rPr>
          <w:b/>
          <w:bCs/>
        </w:rPr>
        <w:t xml:space="preserve">IT / Security Contact</w:t>
      </w:r>
    </w:p>
    <w:p>
      <w:pPr>
        <w:pStyle w:val="ListParagraph"/>
        <w:numPr>
          <w:ilvl w:val="0"/>
          <w:numId w:val="1"/>
        </w:numPr>
        <w:spacing w:after="40"/>
      </w:pPr>
      <w:r>
        <w:t xml:space="preserve">Review vendor data security questionnaires for compliance with IRS Publication 4557</w:t>
      </w:r>
    </w:p>
    <w:p>
      <w:pPr>
        <w:pStyle w:val="ListParagraph"/>
        <w:numPr>
          <w:ilvl w:val="0"/>
          <w:numId w:val="1"/>
        </w:numPr>
        <w:spacing w:after="40"/>
      </w:pPr>
      <w:r>
        <w:t xml:space="preserve">Verify that SaaS vendors (QuickBooks Online, Xero, CCH Axcess) maintain SOC 2 Type II certification</w:t>
      </w:r>
    </w:p>
    <w:p>
      <w:pPr>
        <w:pStyle w:val="Heading2"/>
        <w:spacing w:after="100" w:before="240"/>
      </w:pPr>
      <w:r>
        <w:t xml:space="preserve">Procedure</w:t>
      </w:r>
    </w:p>
    <w:p>
      <w:pPr>
        <w:pStyle w:val="Heading3"/>
        <w:spacing w:after="40" w:before="160"/>
      </w:pPr>
      <w:r>
        <w:t xml:space="preserve">Step 1: Submit a vendor engagement request</w:t>
      </w:r>
    </w:p>
    <w:p>
      <w:pPr>
        <w:spacing w:after="100"/>
      </w:pPr>
      <w:r>
        <w:t xml:space="preserve">When a team member identifies a need for a new vendor (software tool, outsourced service, or supply), they submit a request through Karbon including the business justification, estimated annual cost, and the specific accounting function the vendor will support (e.g., payroll processing, document scanning, tax research).</w:t>
      </w:r>
    </w:p>
    <w:p>
      <w:pPr>
        <w:spacing w:after="100"/>
      </w:pPr>
      <w:r>
        <w:rPr>
          <w:i/>
          <w:iCs/>
          <w:color w:val="1F7A4D"/>
        </w:rPr>
        <w:t xml:space="preserve">Tip: Require requesters to identify at least two alternative vendors so the evaluation step has comparison options from the start.</w:t>
      </w:r>
    </w:p>
    <w:p>
      <w:pPr>
        <w:pStyle w:val="Heading3"/>
        <w:spacing w:after="40" w:before="160"/>
      </w:pPr>
      <w:r>
        <w:t xml:space="preserve">Step 2: Evaluate vendor candidates against the firm's scorecard</w:t>
      </w:r>
    </w:p>
    <w:p>
      <w:pPr>
        <w:spacing w:after="100"/>
      </w:pPr>
      <w:r>
        <w:t xml:space="preserve">Score each candidate vendor on the firm's weighted evaluation criteria: cost (25%), accounting industry experience (20%), data security posture (20%), integration with existing tools like QuickBooks or Xero (15%), references from other accounting firms (10%), and contract flexibility (10%). Document scores in the evaluation scorecard.</w:t>
      </w:r>
    </w:p>
    <w:p>
      <w:pPr>
        <w:pStyle w:val="ListParagraph"/>
        <w:numPr>
          <w:ilvl w:val="1"/>
          <w:numId w:val="1"/>
        </w:numPr>
        <w:spacing w:after="40"/>
      </w:pPr>
      <w:r>
        <w:t xml:space="preserve">Verify the vendor has experience serving accounting or bookkeeping firms specifically</w:t>
      </w:r>
    </w:p>
    <w:p>
      <w:pPr>
        <w:pStyle w:val="ListParagraph"/>
        <w:numPr>
          <w:ilvl w:val="1"/>
          <w:numId w:val="1"/>
        </w:numPr>
        <w:spacing w:after="40"/>
      </w:pPr>
      <w:r>
        <w:t xml:space="preserve">Confirm the vendor's software integrates with QuickBooks, Xero, or CCH Axcess via API or native connection</w:t>
      </w:r>
    </w:p>
    <w:p>
      <w:pPr>
        <w:pStyle w:val="ListParagraph"/>
        <w:numPr>
          <w:ilvl w:val="1"/>
          <w:numId w:val="1"/>
        </w:numPr>
        <w:spacing w:after="40"/>
      </w:pPr>
      <w:r>
        <w:t xml:space="preserve">Request and verify at least two references from firms of similar size</w:t>
      </w:r>
    </w:p>
    <w:p>
      <w:pPr>
        <w:pStyle w:val="ListParagraph"/>
        <w:numPr>
          <w:ilvl w:val="1"/>
          <w:numId w:val="1"/>
        </w:numPr>
        <w:spacing w:after="40"/>
      </w:pPr>
      <w:r>
        <w:t xml:space="preserve">Check for any IRS enforcement actions or data breach history</w:t>
      </w:r>
    </w:p>
    <w:p>
      <w:pPr>
        <w:spacing w:after="100"/>
      </w:pPr>
      <w:r>
        <w:rPr>
          <w:i/>
          <w:iCs/>
          <w:color w:val="B45309"/>
        </w:rPr>
        <w:t xml:space="preserve">Warning: Never onboard a SaaS vendor that stores client financial data without confirming SOC 2 Type II certification—this is a baseline requirement under IRS Publication 4557.</w:t>
      </w:r>
    </w:p>
    <w:p>
      <w:pPr>
        <w:pStyle w:val="Heading3"/>
        <w:spacing w:after="40" w:before="160"/>
      </w:pPr>
      <w:r>
        <w:t xml:space="preserve">Step 3: Review and negotiate the vendor contract</w:t>
      </w:r>
    </w:p>
    <w:p>
      <w:pPr>
        <w:spacing w:after="100"/>
      </w:pPr>
      <w:r>
        <w:t xml:space="preserve">Before signing, review the contract for automatic renewal clauses, data ownership provisions, termination notice requirements, and service-level agreements. For vendors handling taxpayer data, confirm the contract includes a data processing agreement that meets IRS safeguarding requirements.</w:t>
      </w:r>
    </w:p>
    <w:p>
      <w:pPr>
        <w:pStyle w:val="ListParagraph"/>
        <w:numPr>
          <w:ilvl w:val="1"/>
          <w:numId w:val="1"/>
        </w:numPr>
        <w:spacing w:after="40"/>
      </w:pPr>
      <w:r>
        <w:t xml:space="preserve">Verify the contract specifies what happens to firm and client data upon termination</w:t>
      </w:r>
    </w:p>
    <w:p>
      <w:pPr>
        <w:pStyle w:val="ListParagraph"/>
        <w:numPr>
          <w:ilvl w:val="1"/>
          <w:numId w:val="1"/>
        </w:numPr>
        <w:spacing w:after="40"/>
      </w:pPr>
      <w:r>
        <w:t xml:space="preserve">Confirm pricing is locked for at least 12 months with documented escalation terms</w:t>
      </w:r>
    </w:p>
    <w:p>
      <w:pPr>
        <w:pStyle w:val="ListParagraph"/>
        <w:numPr>
          <w:ilvl w:val="1"/>
          <w:numId w:val="1"/>
        </w:numPr>
        <w:spacing w:after="40"/>
      </w:pPr>
      <w:r>
        <w:t xml:space="preserve">Ensure the vendor agrees to notify the firm within 24 hours of any data breach</w:t>
      </w:r>
    </w:p>
    <w:p>
      <w:pPr>
        <w:spacing w:after="100"/>
      </w:pPr>
      <w:r>
        <w:rPr>
          <w:i/>
          <w:iCs/>
          <w:color w:val="1F7A4D"/>
        </w:rPr>
        <w:t xml:space="preserve">Tip: Flag contracts with auto-renewal clauses in Karbon with a reminder 90 days before the renewal date—this prevents unwanted lock-ins.</w:t>
      </w:r>
    </w:p>
    <w:p>
      <w:pPr>
        <w:pStyle w:val="Heading3"/>
        <w:spacing w:after="40" w:before="160"/>
      </w:pPr>
      <w:r>
        <w:t xml:space="preserve">Step 4: Onboard the vendor in QuickBooks or Xero</w:t>
      </w:r>
    </w:p>
    <w:p>
      <w:pPr>
        <w:spacing w:after="100"/>
      </w:pPr>
      <w:r>
        <w:t xml:space="preserve">Create the vendor record in QuickBooks or Xero with complete contact information, payment terms, and the correct 1099 category. Collect the W-9 form and attach it to the vendor record. Set up the payment method (check, ACH, or credit card) per the firm's accounts payable policy.</w:t>
      </w:r>
    </w:p>
    <w:p>
      <w:pPr>
        <w:pStyle w:val="ListParagraph"/>
        <w:numPr>
          <w:ilvl w:val="1"/>
          <w:numId w:val="1"/>
        </w:numPr>
        <w:spacing w:after="40"/>
      </w:pPr>
      <w:r>
        <w:t xml:space="preserve">Enter the vendor's EIN or SSN from the W-9 for 1099 reporting at year-end</w:t>
      </w:r>
    </w:p>
    <w:p>
      <w:pPr>
        <w:pStyle w:val="ListParagraph"/>
        <w:numPr>
          <w:ilvl w:val="1"/>
          <w:numId w:val="1"/>
        </w:numPr>
        <w:spacing w:after="40"/>
      </w:pPr>
      <w:r>
        <w:t xml:space="preserve">Assign the correct expense category (e.g., Software &amp; Subscriptions, Professional Services, Office Supplies)</w:t>
      </w:r>
    </w:p>
    <w:p>
      <w:pPr>
        <w:pStyle w:val="ListParagraph"/>
        <w:numPr>
          <w:ilvl w:val="1"/>
          <w:numId w:val="1"/>
        </w:numPr>
        <w:spacing w:after="40"/>
      </w:pPr>
      <w:r>
        <w:t xml:space="preserve">Configure recurring bill entries in QuickBooks or Xero for subscription-based vendors</w:t>
      </w:r>
    </w:p>
    <w:p>
      <w:pPr>
        <w:pStyle w:val="ListParagraph"/>
        <w:numPr>
          <w:ilvl w:val="1"/>
          <w:numId w:val="1"/>
        </w:numPr>
        <w:spacing w:after="40"/>
      </w:pPr>
      <w:r>
        <w:t xml:space="preserve">Add the vendor to the firm's master vendor list with the contract start and end dates</w:t>
      </w:r>
    </w:p>
    <w:p>
      <w:pPr>
        <w:spacing w:after="100"/>
      </w:pPr>
      <w:r>
        <w:rPr>
          <w:i/>
          <w:iCs/>
          <w:color w:val="B45309"/>
        </w:rPr>
        <w:t xml:space="preserve">Warning: Do not issue any payment to a vendor before the W-9 is on file. Missing W-9s create 1099 reporting headaches and potential IRS backup withholding obligations.</w:t>
      </w:r>
    </w:p>
    <w:p>
      <w:pPr>
        <w:pStyle w:val="Heading3"/>
        <w:spacing w:after="40" w:before="160"/>
      </w:pPr>
      <w:r>
        <w:t xml:space="preserve">Step 5: Set up vendor access and integrations</w:t>
      </w:r>
    </w:p>
    <w:p>
      <w:pPr>
        <w:spacing w:after="100"/>
      </w:pPr>
      <w:r>
        <w:t xml:space="preserve">For SaaS vendors, configure single sign-on or role-based access controls. Connect the vendor's platform to QuickBooks, Xero, or CCH Axcess if an integration exists. Restrict vendor access to only the data they need—never grant full admin access to external parties.</w:t>
      </w:r>
    </w:p>
    <w:p>
      <w:pPr>
        <w:spacing w:after="100"/>
      </w:pPr>
      <w:r>
        <w:rPr>
          <w:i/>
          <w:iCs/>
          <w:color w:val="1F7A4D"/>
        </w:rPr>
        <w:t xml:space="preserve">Tip: Document all vendor integrations and access permissions in a shared spreadsheet so the team knows exactly what each vendor can see and do in your systems.</w:t>
      </w:r>
    </w:p>
    <w:p>
      <w:pPr>
        <w:pStyle w:val="Heading3"/>
        <w:spacing w:after="40" w:before="160"/>
      </w:pPr>
      <w:r>
        <w:t xml:space="preserve">Step 6: Monitor vendor performance monthly</w:t>
      </w:r>
    </w:p>
    <w:p>
      <w:pPr>
        <w:spacing w:after="100"/>
      </w:pPr>
      <w:r>
        <w:t xml:space="preserve">Track each vendor against the SLAs defined in their contract. For software vendors, monitor uptime and support response times. For service vendors, track deliverable quality and turnaround times. Log performance notes in Karbon so they're available during the quarterly review.</w:t>
      </w:r>
    </w:p>
    <w:p>
      <w:pPr>
        <w:pStyle w:val="ListParagraph"/>
        <w:numPr>
          <w:ilvl w:val="1"/>
          <w:numId w:val="1"/>
        </w:numPr>
        <w:spacing w:after="40"/>
      </w:pPr>
      <w:r>
        <w:t xml:space="preserve">Compare actual invoiced amounts against contracted rates in QuickBooks or Xero</w:t>
      </w:r>
    </w:p>
    <w:p>
      <w:pPr>
        <w:pStyle w:val="ListParagraph"/>
        <w:numPr>
          <w:ilvl w:val="1"/>
          <w:numId w:val="1"/>
        </w:numPr>
        <w:spacing w:after="40"/>
      </w:pPr>
      <w:r>
        <w:t xml:space="preserve">Document any missed SLAs, billing errors, or service disruptions</w:t>
      </w:r>
    </w:p>
    <w:p>
      <w:pPr>
        <w:pStyle w:val="ListParagraph"/>
        <w:numPr>
          <w:ilvl w:val="1"/>
          <w:numId w:val="1"/>
        </w:numPr>
        <w:spacing w:after="40"/>
      </w:pPr>
      <w:r>
        <w:t xml:space="preserve">Collect feedback from team members who interact with the vendor regularly</w:t>
      </w:r>
    </w:p>
    <w:p>
      <w:pPr>
        <w:pStyle w:val="Heading3"/>
        <w:spacing w:after="40" w:before="160"/>
      </w:pPr>
      <w:r>
        <w:t xml:space="preserve">Step 7: Conduct quarterly vendor performance reviews</w:t>
      </w:r>
    </w:p>
    <w:p>
      <w:pPr>
        <w:spacing w:after="100"/>
      </w:pPr>
      <w:r>
        <w:t xml:space="preserve">Every quarter, pull the performance log from Karbon and the spend history from QuickBooks or Xero. Score the vendor against the same criteria used during evaluation. Present a summary to the practice owner with a recommendation: continue, renegotiate, or begin replacement search.</w:t>
      </w:r>
    </w:p>
    <w:p>
      <w:pPr>
        <w:spacing w:after="100"/>
      </w:pPr>
      <w:r>
        <w:rPr>
          <w:i/>
          <w:iCs/>
          <w:color w:val="1F7A4D"/>
        </w:rPr>
        <w:t xml:space="preserve">Tip: Schedule quarterly reviews in Karbon as recurring tasks so they never slip through the cracks during busy tax season.</w:t>
      </w:r>
    </w:p>
    <w:p>
      <w:pPr>
        <w:pStyle w:val="Heading3"/>
        <w:spacing w:after="40" w:before="160"/>
      </w:pPr>
      <w:r>
        <w:t xml:space="preserve">Step 8: Manage contract renewals or terminations</w:t>
      </w:r>
    </w:p>
    <w:p>
      <w:pPr>
        <w:spacing w:after="100"/>
      </w:pPr>
      <w:r>
        <w:t xml:space="preserve">Sixty days before a contract expires, initiate the renewal review. If renewing, negotiate updated terms based on performance data. If terminating, follow the contract's notice requirements, export all firm data from the vendor's platform, revoke access credentials, and update the vendor record in QuickBooks or Xero to inactive status.</w:t>
      </w:r>
    </w:p>
    <w:p>
      <w:pPr>
        <w:pStyle w:val="ListParagraph"/>
        <w:numPr>
          <w:ilvl w:val="1"/>
          <w:numId w:val="1"/>
        </w:numPr>
        <w:spacing w:after="40"/>
      </w:pPr>
      <w:r>
        <w:t xml:space="preserve">Confirm all client data has been exported and securely stored before terminating a SaaS vendor</w:t>
      </w:r>
    </w:p>
    <w:p>
      <w:pPr>
        <w:pStyle w:val="ListParagraph"/>
        <w:numPr>
          <w:ilvl w:val="1"/>
          <w:numId w:val="1"/>
        </w:numPr>
        <w:spacing w:after="40"/>
      </w:pPr>
      <w:r>
        <w:t xml:space="preserve">Issue final payment and verify the vendor's 1099 information is current for year-end reporting</w:t>
      </w:r>
    </w:p>
    <w:p>
      <w:pPr>
        <w:pStyle w:val="ListParagraph"/>
        <w:numPr>
          <w:ilvl w:val="1"/>
          <w:numId w:val="1"/>
        </w:numPr>
        <w:spacing w:after="40"/>
      </w:pPr>
      <w:r>
        <w:t xml:space="preserve">Remove the vendor's access to all firm systems (QuickBooks, Xero, CCH Axcess, Karbon)</w:t>
      </w:r>
    </w:p>
    <w:p>
      <w:pPr>
        <w:pStyle w:val="ListParagraph"/>
        <w:numPr>
          <w:ilvl w:val="1"/>
          <w:numId w:val="1"/>
        </w:numPr>
        <w:spacing w:after="40"/>
      </w:pPr>
      <w:r>
        <w:t xml:space="preserve">Document the termination reason in the vendor file for future reference</w:t>
      </w:r>
    </w:p>
    <w:p>
      <w:pPr>
        <w:spacing w:after="100"/>
      </w:pPr>
      <w:r>
        <w:rPr>
          <w:i/>
          <w:iCs/>
          <w:color w:val="B45309"/>
        </w:rPr>
        <w:t xml:space="preserve">Warning: Never let a vendor contract auto-renew without a performance review. Auto-renewals often include price increases that go unnoticed for months.</w:t>
      </w:r>
    </w:p>
    <w:p>
      <w:pPr>
        <w:pStyle w:val="Heading2"/>
        <w:spacing w:after="100" w:before="240"/>
      </w:pPr>
      <w:r>
        <w:t xml:space="preserve">Completion Checklist</w:t>
      </w:r>
    </w:p>
    <w:p>
      <w:pPr>
        <w:spacing w:after="40"/>
      </w:pPr>
      <w:r>
        <w:t xml:space="preserve">☐  Vendor engagement request submitted with business justification and cost estimate</w:t>
      </w:r>
    </w:p>
    <w:p>
      <w:pPr>
        <w:spacing w:after="40"/>
      </w:pPr>
      <w:r>
        <w:t xml:space="preserve">☐  At least two vendor candidates evaluated using the weighted scorecard</w:t>
      </w:r>
    </w:p>
    <w:p>
      <w:pPr>
        <w:spacing w:after="40"/>
      </w:pPr>
      <w:r>
        <w:t xml:space="preserve">☐  SOC 2 Type II certification verified for any vendor handling client financial data</w:t>
      </w:r>
    </w:p>
    <w:p>
      <w:pPr>
        <w:spacing w:after="40"/>
      </w:pPr>
      <w:r>
        <w:t xml:space="preserve">☐  Contract reviewed for data ownership, termination, auto-renewal, and SLA terms</w:t>
      </w:r>
    </w:p>
    <w:p>
      <w:pPr>
        <w:spacing w:after="40"/>
      </w:pPr>
      <w:r>
        <w:t xml:space="preserve">☐  Data processing agreement in place per IRS Publication 4557 requirements</w:t>
      </w:r>
    </w:p>
    <w:p>
      <w:pPr>
        <w:spacing w:after="40"/>
      </w:pPr>
      <w:r>
        <w:t xml:space="preserve">☐  W-9 collected and on file before first payment</w:t>
      </w:r>
    </w:p>
    <w:p>
      <w:pPr>
        <w:spacing w:after="40"/>
      </w:pPr>
      <w:r>
        <w:t xml:space="preserve">☐  Vendor record created in QuickBooks or Xero with correct 1099 category</w:t>
      </w:r>
    </w:p>
    <w:p>
      <w:pPr>
        <w:spacing w:after="40"/>
      </w:pPr>
      <w:r>
        <w:t xml:space="preserve">☐  Recurring bills configured for subscription vendors</w:t>
      </w:r>
    </w:p>
    <w:p>
      <w:pPr>
        <w:spacing w:after="40"/>
      </w:pPr>
      <w:r>
        <w:t xml:space="preserve">☐  Access permissions documented and restricted to minimum necessary</w:t>
      </w:r>
    </w:p>
    <w:p>
      <w:pPr>
        <w:spacing w:after="40"/>
      </w:pPr>
      <w:r>
        <w:t xml:space="preserve">☐  Integrations tested with QuickBooks, Xero, or CCH Axcess</w:t>
      </w:r>
    </w:p>
    <w:p>
      <w:pPr>
        <w:spacing w:after="40"/>
      </w:pPr>
      <w:r>
        <w:t xml:space="preserve">☐  Monthly performance tracked against contracted SLAs</w:t>
      </w:r>
    </w:p>
    <w:p>
      <w:pPr>
        <w:spacing w:after="40"/>
      </w:pPr>
      <w:r>
        <w:t xml:space="preserve">☐  Quarterly performance review completed and documented in Karbon</w:t>
      </w:r>
    </w:p>
    <w:p>
      <w:pPr>
        <w:spacing w:after="40"/>
      </w:pPr>
      <w:r>
        <w:t xml:space="preserve">☐  Contract renewal review initiated 60 days before expiration</w:t>
      </w:r>
    </w:p>
    <w:p>
      <w:pPr>
        <w:spacing w:after="40"/>
      </w:pPr>
      <w:r>
        <w:t xml:space="preserve">☐  Terminated vendor access revoked from all firm systems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Vendor onboarding completion time</w:t>
            </w:r>
          </w:p>
        </w:tc>
        <w:tc>
          <w:tcPr>
            <w:tcMar>
              <w:top w:type="dxa" w:w="60"/>
              <w:left w:type="dxa" w:w="120"/>
              <w:bottom w:type="dxa" w:w="60"/>
              <w:right w:type="dxa" w:w="120"/>
            </w:tcMar>
          </w:tcPr>
          <w:p>
            <w:r>
              <w:rPr>
                <w:b w:val="false"/>
                <w:bCs w:val="false"/>
              </w:rPr>
              <w:t xml:space="preserve">≤ 5 business days from approval to fully onboarded</w:t>
            </w:r>
          </w:p>
        </w:tc>
      </w:tr>
      <w:tr>
        <w:trPr>
          <w:tblHeader w:val="false"/>
        </w:trPr>
        <w:tc>
          <w:tcPr>
            <w:tcMar>
              <w:top w:type="dxa" w:w="60"/>
              <w:left w:type="dxa" w:w="120"/>
              <w:bottom w:type="dxa" w:w="60"/>
              <w:right w:type="dxa" w:w="120"/>
            </w:tcMar>
          </w:tcPr>
          <w:p>
            <w:r>
              <w:rPr>
                <w:b w:val="false"/>
                <w:bCs w:val="false"/>
              </w:rPr>
              <w:t xml:space="preserve">W-9 collection rate</w:t>
            </w:r>
          </w:p>
        </w:tc>
        <w:tc>
          <w:tcPr>
            <w:tcMar>
              <w:top w:type="dxa" w:w="60"/>
              <w:left w:type="dxa" w:w="120"/>
              <w:bottom w:type="dxa" w:w="60"/>
              <w:right w:type="dxa" w:w="120"/>
            </w:tcMar>
          </w:tcPr>
          <w:p>
            <w:r>
              <w:rPr>
                <w:b w:val="false"/>
                <w:bCs w:val="false"/>
              </w:rPr>
              <w:t xml:space="preserve">100% of vendors have W-9 on file before first payment</w:t>
            </w:r>
          </w:p>
        </w:tc>
      </w:tr>
      <w:tr>
        <w:trPr>
          <w:tblHeader w:val="false"/>
        </w:trPr>
        <w:tc>
          <w:tcPr>
            <w:tcMar>
              <w:top w:type="dxa" w:w="60"/>
              <w:left w:type="dxa" w:w="120"/>
              <w:bottom w:type="dxa" w:w="60"/>
              <w:right w:type="dxa" w:w="120"/>
            </w:tcMar>
          </w:tcPr>
          <w:p>
            <w:r>
              <w:rPr>
                <w:b w:val="false"/>
                <w:bCs w:val="false"/>
              </w:rPr>
              <w:t xml:space="preserve">Vendor SLA compliance rate</w:t>
            </w:r>
          </w:p>
        </w:tc>
        <w:tc>
          <w:tcPr>
            <w:tcMar>
              <w:top w:type="dxa" w:w="60"/>
              <w:left w:type="dxa" w:w="120"/>
              <w:bottom w:type="dxa" w:w="60"/>
              <w:right w:type="dxa" w:w="120"/>
            </w:tcMar>
          </w:tcPr>
          <w:p>
            <w:r>
              <w:rPr>
                <w:b w:val="false"/>
                <w:bCs w:val="false"/>
              </w:rPr>
              <w:t xml:space="preserve">≥ 95% of vendors meeting contracted service levels</w:t>
            </w:r>
          </w:p>
        </w:tc>
      </w:tr>
      <w:tr>
        <w:trPr>
          <w:tblHeader w:val="false"/>
        </w:trPr>
        <w:tc>
          <w:tcPr>
            <w:tcMar>
              <w:top w:type="dxa" w:w="60"/>
              <w:left w:type="dxa" w:w="120"/>
              <w:bottom w:type="dxa" w:w="60"/>
              <w:right w:type="dxa" w:w="120"/>
            </w:tcMar>
          </w:tcPr>
          <w:p>
            <w:r>
              <w:rPr>
                <w:b w:val="false"/>
                <w:bCs w:val="false"/>
              </w:rPr>
              <w:t xml:space="preserve">Invoice accuracy rate</w:t>
            </w:r>
          </w:p>
        </w:tc>
        <w:tc>
          <w:tcPr>
            <w:tcMar>
              <w:top w:type="dxa" w:w="60"/>
              <w:left w:type="dxa" w:w="120"/>
              <w:bottom w:type="dxa" w:w="60"/>
              <w:right w:type="dxa" w:w="120"/>
            </w:tcMar>
          </w:tcPr>
          <w:p>
            <w:r>
              <w:rPr>
                <w:b w:val="false"/>
                <w:bCs w:val="false"/>
              </w:rPr>
              <w:t xml:space="preserve">≥ 98% of vendor invoices match contracted rates without discrepancy</w:t>
            </w:r>
          </w:p>
        </w:tc>
      </w:tr>
      <w:tr>
        <w:trPr>
          <w:tblHeader w:val="false"/>
        </w:trPr>
        <w:tc>
          <w:tcPr>
            <w:tcMar>
              <w:top w:type="dxa" w:w="60"/>
              <w:left w:type="dxa" w:w="120"/>
              <w:bottom w:type="dxa" w:w="60"/>
              <w:right w:type="dxa" w:w="120"/>
            </w:tcMar>
          </w:tcPr>
          <w:p>
            <w:r>
              <w:rPr>
                <w:b w:val="false"/>
                <w:bCs w:val="false"/>
              </w:rPr>
              <w:t xml:space="preserve">Contract renewal review timeliness</w:t>
            </w:r>
          </w:p>
        </w:tc>
        <w:tc>
          <w:tcPr>
            <w:tcMar>
              <w:top w:type="dxa" w:w="60"/>
              <w:left w:type="dxa" w:w="120"/>
              <w:bottom w:type="dxa" w:w="60"/>
              <w:right w:type="dxa" w:w="120"/>
            </w:tcMar>
          </w:tcPr>
          <w:p>
            <w:r>
              <w:rPr>
                <w:b w:val="false"/>
                <w:bCs w:val="false"/>
              </w:rPr>
              <w:t xml:space="preserve">100% of renewals reviewed at least 60 days before expiration</w:t>
            </w:r>
          </w:p>
        </w:tc>
      </w:tr>
    </w:tbl>
    <w:p>
      <w:pPr>
        <w:pStyle w:val="Heading2"/>
        <w:spacing w:after="100" w:before="240"/>
      </w:pPr>
      <w:r>
        <w:t xml:space="preserve">Revision Schedule</w:t>
      </w:r>
    </w:p>
    <w:p>
      <w:pPr>
        <w:spacing w:after="100"/>
      </w:pPr>
      <w:r>
        <w:t xml:space="preserve">Annually, or when IRS 1099 reporting thresholds change, new data security regulations take effect, or the firm adds a new major vendor category</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Management SOP Template for Accounting &amp; Bookkeeping Teams</dc:title>
  <dc:creator>Glyde</dc:creator>
  <dc:description>Free Vendor Management SOP template designed for Accounting &amp; Bookkeeping Operations teams. Includes step-by-step procedures, checklist, roles, and KPIs.</dc:description>
  <cp:lastModifiedBy>Un-named</cp:lastModifiedBy>
  <cp:revision>1</cp:revision>
  <dcterms:created xsi:type="dcterms:W3CDTF">2026-07-22T08:34:36.413Z</dcterms:created>
  <dcterms:modified xsi:type="dcterms:W3CDTF">2026-07-22T08:34:36.413Z</dcterms:modified>
</cp:coreProperties>
</file>

<file path=docProps/custom.xml><?xml version="1.0" encoding="utf-8"?>
<Properties xmlns="http://schemas.openxmlformats.org/officeDocument/2006/custom-properties" xmlns:vt="http://schemas.openxmlformats.org/officeDocument/2006/docPropsVTypes"/>
</file>