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Vendor Management for Construction</w:t>
      </w:r>
    </w:p>
    <w:p>
      <w:pPr>
        <w:spacing w:after="200"/>
      </w:pPr>
      <w:r>
        <w:rPr>
          <w:i/>
          <w:iCs/>
          <w:color w:val="6B7280"/>
        </w:rPr>
        <w:t xml:space="preserve">Free vendor management SOP for construction. Covers subcontractor prequalification, performance tracking, and payment processing.</w:t>
      </w:r>
    </w:p>
    <w:p>
      <w:pPr>
        <w:pStyle w:val="Heading2"/>
        <w:spacing w:after="100" w:before="240"/>
      </w:pPr>
      <w:r>
        <w:t xml:space="preserve">Purpose</w:t>
      </w:r>
    </w:p>
    <w:p>
      <w:pPr>
        <w:spacing w:after="100"/>
      </w:pPr>
      <w:r>
        <w:t xml:space="preserve">Qualify, onboard, and manage subcontractors and suppliers so that the right trades show up on the right day with the right materials — and get paid when they perform. Poor subcontractor management is the leading cause of construction schedule delays and cost overruns.</w:t>
      </w:r>
    </w:p>
    <w:p>
      <w:pPr>
        <w:pStyle w:val="Heading2"/>
        <w:spacing w:after="100" w:before="240"/>
      </w:pPr>
      <w:r>
        <w:t xml:space="preserve">Scope</w:t>
      </w:r>
    </w:p>
    <w:p>
      <w:pPr>
        <w:spacing w:after="100"/>
      </w:pPr>
      <w:r>
        <w:t xml:space="preserve">Covers subcontractor prequalification, onboarding, performance monitoring, and payment processing. Does not cover owner or architect vendor relationships, which follow separate contract administration processes.</w:t>
      </w:r>
    </w:p>
    <w:p>
      <w:pPr>
        <w:pStyle w:val="Heading2"/>
        <w:spacing w:after="100" w:before="240"/>
      </w:pPr>
      <w:r>
        <w:t xml:space="preserve">Prerequisites</w:t>
      </w:r>
    </w:p>
    <w:p>
      <w:pPr>
        <w:pStyle w:val="ListParagraph"/>
        <w:numPr>
          <w:ilvl w:val="0"/>
          <w:numId w:val="1"/>
        </w:numPr>
        <w:spacing w:after="40"/>
      </w:pPr>
      <w:r>
        <w:t xml:space="preserve">Subcontractor prequalification questionnaire template</w:t>
      </w:r>
    </w:p>
    <w:p>
      <w:pPr>
        <w:pStyle w:val="ListParagraph"/>
        <w:numPr>
          <w:ilvl w:val="0"/>
          <w:numId w:val="1"/>
        </w:numPr>
        <w:spacing w:after="40"/>
      </w:pPr>
      <w:r>
        <w:t xml:space="preserve">Certificate of insurance (COI) requirements defined by project</w:t>
      </w:r>
    </w:p>
    <w:p>
      <w:pPr>
        <w:pStyle w:val="ListParagraph"/>
        <w:numPr>
          <w:ilvl w:val="0"/>
          <w:numId w:val="1"/>
        </w:numPr>
        <w:spacing w:after="40"/>
      </w:pPr>
      <w:r>
        <w:t xml:space="preserve">Procore vendor directory configured</w:t>
      </w:r>
    </w:p>
    <w:p>
      <w:pPr>
        <w:pStyle w:val="ListParagraph"/>
        <w:numPr>
          <w:ilvl w:val="0"/>
          <w:numId w:val="1"/>
        </w:numPr>
        <w:spacing w:after="40"/>
      </w:pPr>
      <w:r>
        <w:t xml:space="preserve">Payment terms established in subcontract agreements</w:t>
      </w:r>
    </w:p>
    <w:p>
      <w:pPr>
        <w:pStyle w:val="ListParagraph"/>
        <w:numPr>
          <w:ilvl w:val="0"/>
          <w:numId w:val="1"/>
        </w:numPr>
        <w:spacing w:after="40"/>
      </w:pPr>
      <w:r>
        <w:t xml:space="preserve">Lien waiver templates on file</w:t>
      </w:r>
    </w:p>
    <w:p>
      <w:pPr>
        <w:pStyle w:val="Heading2"/>
        <w:spacing w:after="100" w:before="240"/>
      </w:pPr>
      <w:r>
        <w:t xml:space="preserve">Roles &amp; Responsibilities</w:t>
      </w:r>
    </w:p>
    <w:p>
      <w:pPr>
        <w:spacing w:after="40" w:before="120"/>
      </w:pPr>
      <w:r>
        <w:rPr>
          <w:b/>
          <w:bCs/>
        </w:rPr>
        <w:t xml:space="preserve">Project Manager</w:t>
      </w:r>
    </w:p>
    <w:p>
      <w:pPr>
        <w:pStyle w:val="ListParagraph"/>
        <w:numPr>
          <w:ilvl w:val="0"/>
          <w:numId w:val="1"/>
        </w:numPr>
        <w:spacing w:after="40"/>
      </w:pPr>
      <w:r>
        <w:t xml:space="preserve">Prequalify subcontractors before bid invitation</w:t>
      </w:r>
    </w:p>
    <w:p>
      <w:pPr>
        <w:pStyle w:val="ListParagraph"/>
        <w:numPr>
          <w:ilvl w:val="0"/>
          <w:numId w:val="1"/>
        </w:numPr>
        <w:spacing w:after="40"/>
      </w:pPr>
      <w:r>
        <w:t xml:space="preserve">Execute subcontract agreements</w:t>
      </w:r>
    </w:p>
    <w:p>
      <w:pPr>
        <w:pStyle w:val="ListParagraph"/>
        <w:numPr>
          <w:ilvl w:val="0"/>
          <w:numId w:val="1"/>
        </w:numPr>
        <w:spacing w:after="40"/>
      </w:pPr>
      <w:r>
        <w:t xml:space="preserve">Approve pay applications and authorize payment</w:t>
      </w:r>
    </w:p>
    <w:p>
      <w:pPr>
        <w:spacing w:after="40" w:before="120"/>
      </w:pPr>
      <w:r>
        <w:rPr>
          <w:b/>
          <w:bCs/>
        </w:rPr>
        <w:t xml:space="preserve">Superintendent</w:t>
      </w:r>
    </w:p>
    <w:p>
      <w:pPr>
        <w:pStyle w:val="ListParagraph"/>
        <w:numPr>
          <w:ilvl w:val="0"/>
          <w:numId w:val="1"/>
        </w:numPr>
        <w:spacing w:after="40"/>
      </w:pPr>
      <w:r>
        <w:t xml:space="preserve">Monitor subcontractor daily performance on site</w:t>
      </w:r>
    </w:p>
    <w:p>
      <w:pPr>
        <w:pStyle w:val="ListParagraph"/>
        <w:numPr>
          <w:ilvl w:val="0"/>
          <w:numId w:val="1"/>
        </w:numPr>
        <w:spacing w:after="40"/>
      </w:pPr>
      <w:r>
        <w:t xml:space="preserve">Coordinate scheduling between trades</w:t>
      </w:r>
    </w:p>
    <w:p>
      <w:pPr>
        <w:pStyle w:val="ListParagraph"/>
        <w:numPr>
          <w:ilvl w:val="0"/>
          <w:numId w:val="1"/>
        </w:numPr>
        <w:spacing w:after="40"/>
      </w:pPr>
      <w:r>
        <w:t xml:space="preserve">Document subcontractor deficiencies in Procore</w:t>
      </w:r>
    </w:p>
    <w:p>
      <w:pPr>
        <w:spacing w:after="40" w:before="120"/>
      </w:pPr>
      <w:r>
        <w:rPr>
          <w:b/>
          <w:bCs/>
        </w:rPr>
        <w:t xml:space="preserve">Project Accountant</w:t>
      </w:r>
    </w:p>
    <w:p>
      <w:pPr>
        <w:pStyle w:val="ListParagraph"/>
        <w:numPr>
          <w:ilvl w:val="0"/>
          <w:numId w:val="1"/>
        </w:numPr>
        <w:spacing w:after="40"/>
      </w:pPr>
      <w:r>
        <w:t xml:space="preserve">Process pay applications and verify lien waivers</w:t>
      </w:r>
    </w:p>
    <w:p>
      <w:pPr>
        <w:pStyle w:val="ListParagraph"/>
        <w:numPr>
          <w:ilvl w:val="0"/>
          <w:numId w:val="1"/>
        </w:numPr>
        <w:spacing w:after="40"/>
      </w:pPr>
      <w:r>
        <w:t xml:space="preserve">Track subcontract values, change orders, and retainage</w:t>
      </w:r>
    </w:p>
    <w:p>
      <w:pPr>
        <w:pStyle w:val="ListParagraph"/>
        <w:numPr>
          <w:ilvl w:val="0"/>
          <w:numId w:val="1"/>
        </w:numPr>
        <w:spacing w:after="40"/>
      </w:pPr>
      <w:r>
        <w:t xml:space="preserve">Issue joint checks when required by contract</w:t>
      </w:r>
    </w:p>
    <w:p>
      <w:pPr>
        <w:pStyle w:val="Heading2"/>
        <w:spacing w:after="100" w:before="240"/>
      </w:pPr>
      <w:r>
        <w:t xml:space="preserve">Procedure</w:t>
      </w:r>
    </w:p>
    <w:p>
      <w:pPr>
        <w:pStyle w:val="Heading3"/>
        <w:spacing w:after="40" w:before="160"/>
      </w:pPr>
      <w:r>
        <w:t xml:space="preserve">Step 1: Prequalify subcontractors before inviting bids</w:t>
      </w:r>
    </w:p>
    <w:p>
      <w:pPr>
        <w:spacing w:after="100"/>
      </w:pPr>
      <w:r>
        <w:t xml:space="preserve">Before sending bid invitations, verify each subcontractor meets minimum requirements: valid contractor license, adequate insurance coverage, bonding capacity (if required), EMR (Experience Modification Rate) under 1.0, financial stability, and satisfactory references from recent projects. Document prequalification status in Procore.</w:t>
      </w:r>
    </w:p>
    <w:p>
      <w:pPr>
        <w:pStyle w:val="ListParagraph"/>
        <w:numPr>
          <w:ilvl w:val="1"/>
          <w:numId w:val="1"/>
        </w:numPr>
        <w:spacing w:after="40"/>
      </w:pPr>
      <w:r>
        <w:t xml:space="preserve">Send prequalification questionnaire to prospective subcontractors</w:t>
      </w:r>
    </w:p>
    <w:p>
      <w:pPr>
        <w:pStyle w:val="ListParagraph"/>
        <w:numPr>
          <w:ilvl w:val="1"/>
          <w:numId w:val="1"/>
        </w:numPr>
        <w:spacing w:after="40"/>
      </w:pPr>
      <w:r>
        <w:t xml:space="preserve">Verify contractor license is current and covers the required trade</w:t>
      </w:r>
    </w:p>
    <w:p>
      <w:pPr>
        <w:pStyle w:val="ListParagraph"/>
        <w:numPr>
          <w:ilvl w:val="1"/>
          <w:numId w:val="1"/>
        </w:numPr>
        <w:spacing w:after="40"/>
      </w:pPr>
      <w:r>
        <w:t xml:space="preserve">Confirm insurance meets project requirements (GL, auto, workers comp, umbrella)</w:t>
      </w:r>
    </w:p>
    <w:p>
      <w:pPr>
        <w:pStyle w:val="ListParagraph"/>
        <w:numPr>
          <w:ilvl w:val="1"/>
          <w:numId w:val="1"/>
        </w:numPr>
        <w:spacing w:after="40"/>
      </w:pPr>
      <w:r>
        <w:t xml:space="preserve">Check EMR — reject subcontractors with EMR above 1.2</w:t>
      </w:r>
    </w:p>
    <w:p>
      <w:pPr>
        <w:pStyle w:val="ListParagraph"/>
        <w:numPr>
          <w:ilvl w:val="1"/>
          <w:numId w:val="1"/>
        </w:numPr>
        <w:spacing w:after="40"/>
      </w:pPr>
      <w:r>
        <w:t xml:space="preserve">Contact 3 recent project references</w:t>
      </w:r>
    </w:p>
    <w:p>
      <w:pPr>
        <w:pStyle w:val="ListParagraph"/>
        <w:numPr>
          <w:ilvl w:val="1"/>
          <w:numId w:val="1"/>
        </w:numPr>
        <w:spacing w:after="40"/>
      </w:pPr>
      <w:r>
        <w:t xml:space="preserve">Record prequalification status in Procore vendor directory</w:t>
      </w:r>
    </w:p>
    <w:p>
      <w:pPr>
        <w:pStyle w:val="Heading3"/>
        <w:spacing w:after="40" w:before="160"/>
      </w:pPr>
      <w:r>
        <w:t xml:space="preserve">Step 2: Execute the subcontract and onboard the sub</w:t>
      </w:r>
    </w:p>
    <w:p>
      <w:pPr>
        <w:spacing w:after="100"/>
      </w:pPr>
      <w:r>
        <w:t xml:space="preserve">After awarding the work, execute the subcontract agreement, collect the certificate of insurance, and conduct the subcontractor orientation. The orientation covers: site-specific safety requirements, schedule expectations, daily reporting requirements, change order procedures, and payment application process.</w:t>
      </w:r>
    </w:p>
    <w:p>
      <w:pPr>
        <w:pStyle w:val="ListParagraph"/>
        <w:numPr>
          <w:ilvl w:val="1"/>
          <w:numId w:val="1"/>
        </w:numPr>
        <w:spacing w:after="40"/>
      </w:pPr>
      <w:r>
        <w:t xml:space="preserve">Execute the subcontract agreement with scope, schedule, and payment terms</w:t>
      </w:r>
    </w:p>
    <w:p>
      <w:pPr>
        <w:pStyle w:val="ListParagraph"/>
        <w:numPr>
          <w:ilvl w:val="1"/>
          <w:numId w:val="1"/>
        </w:numPr>
        <w:spacing w:after="40"/>
      </w:pPr>
      <w:r>
        <w:t xml:space="preserve">Collect COI naming the GC and owner as additional insureds</w:t>
      </w:r>
    </w:p>
    <w:p>
      <w:pPr>
        <w:pStyle w:val="ListParagraph"/>
        <w:numPr>
          <w:ilvl w:val="1"/>
          <w:numId w:val="1"/>
        </w:numPr>
        <w:spacing w:after="40"/>
      </w:pPr>
      <w:r>
        <w:t xml:space="preserve">Conduct subcontractor orientation covering safety and site procedures</w:t>
      </w:r>
    </w:p>
    <w:p>
      <w:pPr>
        <w:pStyle w:val="ListParagraph"/>
        <w:numPr>
          <w:ilvl w:val="1"/>
          <w:numId w:val="1"/>
        </w:numPr>
        <w:spacing w:after="40"/>
      </w:pPr>
      <w:r>
        <w:t xml:space="preserve">Add the subcontractor to Procore with contact information and contract value</w:t>
      </w:r>
    </w:p>
    <w:p>
      <w:pPr>
        <w:pStyle w:val="ListParagraph"/>
        <w:numPr>
          <w:ilvl w:val="1"/>
          <w:numId w:val="1"/>
        </w:numPr>
        <w:spacing w:after="40"/>
      </w:pPr>
      <w:r>
        <w:t xml:space="preserve">Distribute the project schedule showing the sub's work windows</w:t>
      </w:r>
    </w:p>
    <w:p>
      <w:pPr>
        <w:pStyle w:val="Heading3"/>
        <w:spacing w:after="40" w:before="160"/>
      </w:pPr>
      <w:r>
        <w:t xml:space="preserve">Step 3: Monitor daily performance</w:t>
      </w:r>
    </w:p>
    <w:p>
      <w:pPr>
        <w:spacing w:after="100"/>
      </w:pPr>
      <w:r>
        <w:t xml:space="preserve">The superintendent tracks each subcontractor's daily progress against the schedule. Document manpower counts, areas worked, and any issues in the daily log. If a subcontractor falls behind schedule or delivers substandard work, issue a written notice (cure letter) with a deadline for correction.</w:t>
      </w:r>
    </w:p>
    <w:p>
      <w:pPr>
        <w:pStyle w:val="ListParagraph"/>
        <w:numPr>
          <w:ilvl w:val="1"/>
          <w:numId w:val="1"/>
        </w:numPr>
        <w:spacing w:after="40"/>
      </w:pPr>
      <w:r>
        <w:t xml:space="preserve">Record daily manpower count and areas worked in Procore daily log</w:t>
      </w:r>
    </w:p>
    <w:p>
      <w:pPr>
        <w:pStyle w:val="ListParagraph"/>
        <w:numPr>
          <w:ilvl w:val="1"/>
          <w:numId w:val="1"/>
        </w:numPr>
        <w:spacing w:after="40"/>
      </w:pPr>
      <w:r>
        <w:t xml:space="preserve">Compare actual progress to the scheduled baseline weekly</w:t>
      </w:r>
    </w:p>
    <w:p>
      <w:pPr>
        <w:pStyle w:val="ListParagraph"/>
        <w:numPr>
          <w:ilvl w:val="1"/>
          <w:numId w:val="1"/>
        </w:numPr>
        <w:spacing w:after="40"/>
      </w:pPr>
      <w:r>
        <w:t xml:space="preserve">Issue verbal warning for first schedule slip</w:t>
      </w:r>
    </w:p>
    <w:p>
      <w:pPr>
        <w:pStyle w:val="ListParagraph"/>
        <w:numPr>
          <w:ilvl w:val="1"/>
          <w:numId w:val="1"/>
        </w:numPr>
        <w:spacing w:after="40"/>
      </w:pPr>
      <w:r>
        <w:t xml:space="preserve">Issue written cure letter for persistent schedule or quality issues</w:t>
      </w:r>
    </w:p>
    <w:p>
      <w:pPr>
        <w:pStyle w:val="ListParagraph"/>
        <w:numPr>
          <w:ilvl w:val="1"/>
          <w:numId w:val="1"/>
        </w:numPr>
        <w:spacing w:after="40"/>
      </w:pPr>
      <w:r>
        <w:t xml:space="preserve">Document all communications in Procore</w:t>
      </w:r>
    </w:p>
    <w:p>
      <w:pPr>
        <w:spacing w:after="100"/>
      </w:pPr>
      <w:r>
        <w:rPr>
          <w:i/>
          <w:iCs/>
          <w:color w:val="B45309"/>
        </w:rPr>
        <w:t xml:space="preserve">Warning: Verbal warnings without written follow-up have no contractual weight. If you eventually need to back-charge or terminate a subcontractor, you need a paper trail of documented deficiencies and cure notices.</w:t>
      </w:r>
    </w:p>
    <w:p>
      <w:pPr>
        <w:pStyle w:val="Heading3"/>
        <w:spacing w:after="40" w:before="160"/>
      </w:pPr>
      <w:r>
        <w:t xml:space="preserve">Step 4: Process monthly pay applications</w:t>
      </w:r>
    </w:p>
    <w:p>
      <w:pPr>
        <w:spacing w:after="100"/>
      </w:pPr>
      <w:r>
        <w:t xml:space="preserve">Each month, subcontractors submit pay applications showing the percentage of work completed for each line item. The project manager reviews the pay application against actual field progress, adjusts if needed, and forwards to the project accountant. Collect conditional lien waivers before releasing payment.</w:t>
      </w:r>
    </w:p>
    <w:p>
      <w:pPr>
        <w:pStyle w:val="ListParagraph"/>
        <w:numPr>
          <w:ilvl w:val="1"/>
          <w:numId w:val="1"/>
        </w:numPr>
        <w:spacing w:after="40"/>
      </w:pPr>
      <w:r>
        <w:t xml:space="preserve">Receive subcontractor pay application by the monthly deadline</w:t>
      </w:r>
    </w:p>
    <w:p>
      <w:pPr>
        <w:pStyle w:val="ListParagraph"/>
        <w:numPr>
          <w:ilvl w:val="1"/>
          <w:numId w:val="1"/>
        </w:numPr>
        <w:spacing w:after="40"/>
      </w:pPr>
      <w:r>
        <w:t xml:space="preserve">Field-verify the percentage complete for each line item</w:t>
      </w:r>
    </w:p>
    <w:p>
      <w:pPr>
        <w:pStyle w:val="ListParagraph"/>
        <w:numPr>
          <w:ilvl w:val="1"/>
          <w:numId w:val="1"/>
        </w:numPr>
        <w:spacing w:after="40"/>
      </w:pPr>
      <w:r>
        <w:t xml:space="preserve">Adjust quantities if the pay application overstates progress</w:t>
      </w:r>
    </w:p>
    <w:p>
      <w:pPr>
        <w:pStyle w:val="ListParagraph"/>
        <w:numPr>
          <w:ilvl w:val="1"/>
          <w:numId w:val="1"/>
        </w:numPr>
        <w:spacing w:after="40"/>
      </w:pPr>
      <w:r>
        <w:t xml:space="preserve">Collect conditional lien waiver for the current payment</w:t>
      </w:r>
    </w:p>
    <w:p>
      <w:pPr>
        <w:pStyle w:val="ListParagraph"/>
        <w:numPr>
          <w:ilvl w:val="1"/>
          <w:numId w:val="1"/>
        </w:numPr>
        <w:spacing w:after="40"/>
      </w:pPr>
      <w:r>
        <w:t xml:space="preserve">Collect unconditional lien waiver for the previous payment</w:t>
      </w:r>
    </w:p>
    <w:p>
      <w:pPr>
        <w:pStyle w:val="ListParagraph"/>
        <w:numPr>
          <w:ilvl w:val="1"/>
          <w:numId w:val="1"/>
        </w:numPr>
        <w:spacing w:after="40"/>
      </w:pPr>
      <w:r>
        <w:t xml:space="preserve">Forward approved pay application to project accountant for processing</w:t>
      </w:r>
    </w:p>
    <w:p>
      <w:pPr>
        <w:pStyle w:val="Heading3"/>
        <w:spacing w:after="40" w:before="160"/>
      </w:pPr>
      <w:r>
        <w:t xml:space="preserve">Step 5: Manage change orders</w:t>
      </w:r>
    </w:p>
    <w:p>
      <w:pPr>
        <w:spacing w:after="100"/>
      </w:pPr>
      <w:r>
        <w:t xml:space="preserve">When scope changes affect a subcontractor's work, issue a change order request with a detailed description and request for pricing. Review the subcontractor's proposal against independent estimates. Negotiate and execute the change order before the work proceeds — never allow change order work to start on a verbal agreement.</w:t>
      </w:r>
    </w:p>
    <w:p>
      <w:pPr>
        <w:pStyle w:val="ListParagraph"/>
        <w:numPr>
          <w:ilvl w:val="1"/>
          <w:numId w:val="1"/>
        </w:numPr>
        <w:spacing w:after="40"/>
      </w:pPr>
      <w:r>
        <w:t xml:space="preserve">Issue change order request with scope description</w:t>
      </w:r>
    </w:p>
    <w:p>
      <w:pPr>
        <w:pStyle w:val="ListParagraph"/>
        <w:numPr>
          <w:ilvl w:val="1"/>
          <w:numId w:val="1"/>
        </w:numPr>
        <w:spacing w:after="40"/>
      </w:pPr>
      <w:r>
        <w:t xml:space="preserve">Review subcontractor's pricing proposal</w:t>
      </w:r>
    </w:p>
    <w:p>
      <w:pPr>
        <w:pStyle w:val="ListParagraph"/>
        <w:numPr>
          <w:ilvl w:val="1"/>
          <w:numId w:val="1"/>
        </w:numPr>
        <w:spacing w:after="40"/>
      </w:pPr>
      <w:r>
        <w:t xml:space="preserve">Compare against independent estimate for reasonableness</w:t>
      </w:r>
    </w:p>
    <w:p>
      <w:pPr>
        <w:pStyle w:val="ListParagraph"/>
        <w:numPr>
          <w:ilvl w:val="1"/>
          <w:numId w:val="1"/>
        </w:numPr>
        <w:spacing w:after="40"/>
      </w:pPr>
      <w:r>
        <w:t xml:space="preserve">Negotiate and execute the change order in Procore</w:t>
      </w:r>
    </w:p>
    <w:p>
      <w:pPr>
        <w:pStyle w:val="ListParagraph"/>
        <w:numPr>
          <w:ilvl w:val="1"/>
          <w:numId w:val="1"/>
        </w:numPr>
        <w:spacing w:after="40"/>
      </w:pPr>
      <w:r>
        <w:t xml:space="preserve">Update the subcontract value and schedule</w:t>
      </w:r>
    </w:p>
    <w:p>
      <w:pPr>
        <w:pStyle w:val="Heading3"/>
        <w:spacing w:after="40" w:before="160"/>
      </w:pPr>
      <w:r>
        <w:t xml:space="preserve">Step 6: Conduct final closeout and retainage release</w:t>
      </w:r>
    </w:p>
    <w:p>
      <w:pPr>
        <w:spacing w:after="100"/>
      </w:pPr>
      <w:r>
        <w:t xml:space="preserve">At project completion, verify the subcontractor has completed all punch list items, submitted all required closeout documents (as-builts, warranties, O&amp;M manuals), and provided a final unconditional lien waiver. Release retainage only after all closeout requirements are satisfied.</w:t>
      </w:r>
    </w:p>
    <w:p>
      <w:pPr>
        <w:pStyle w:val="ListParagraph"/>
        <w:numPr>
          <w:ilvl w:val="1"/>
          <w:numId w:val="1"/>
        </w:numPr>
        <w:spacing w:after="40"/>
      </w:pPr>
      <w:r>
        <w:t xml:space="preserve">Verify all punch list items are closed</w:t>
      </w:r>
    </w:p>
    <w:p>
      <w:pPr>
        <w:pStyle w:val="ListParagraph"/>
        <w:numPr>
          <w:ilvl w:val="1"/>
          <w:numId w:val="1"/>
        </w:numPr>
        <w:spacing w:after="40"/>
      </w:pPr>
      <w:r>
        <w:t xml:space="preserve">Collect as-built drawings and warranty documents</w:t>
      </w:r>
    </w:p>
    <w:p>
      <w:pPr>
        <w:pStyle w:val="ListParagraph"/>
        <w:numPr>
          <w:ilvl w:val="1"/>
          <w:numId w:val="1"/>
        </w:numPr>
        <w:spacing w:after="40"/>
      </w:pPr>
      <w:r>
        <w:t xml:space="preserve">Collect O&amp;M manuals (if required by spec)</w:t>
      </w:r>
    </w:p>
    <w:p>
      <w:pPr>
        <w:pStyle w:val="ListParagraph"/>
        <w:numPr>
          <w:ilvl w:val="1"/>
          <w:numId w:val="1"/>
        </w:numPr>
        <w:spacing w:after="40"/>
      </w:pPr>
      <w:r>
        <w:t xml:space="preserve">Obtain final unconditional lien waiver</w:t>
      </w:r>
    </w:p>
    <w:p>
      <w:pPr>
        <w:pStyle w:val="ListParagraph"/>
        <w:numPr>
          <w:ilvl w:val="1"/>
          <w:numId w:val="1"/>
        </w:numPr>
        <w:spacing w:after="40"/>
      </w:pPr>
      <w:r>
        <w:t xml:space="preserve">Process retainage release payment</w:t>
      </w:r>
    </w:p>
    <w:p>
      <w:pPr>
        <w:pStyle w:val="Heading2"/>
        <w:spacing w:after="100" w:before="240"/>
      </w:pPr>
      <w:r>
        <w:t xml:space="preserve">Completion Checklist</w:t>
      </w:r>
    </w:p>
    <w:p>
      <w:pPr>
        <w:spacing w:after="40"/>
      </w:pPr>
      <w:r>
        <w:t xml:space="preserve">☐  Subcontractor prequalified before bid invitation</w:t>
      </w:r>
    </w:p>
    <w:p>
      <w:pPr>
        <w:spacing w:after="40"/>
      </w:pPr>
      <w:r>
        <w:t xml:space="preserve">☐  Contractor license and insurance verified</w:t>
      </w:r>
    </w:p>
    <w:p>
      <w:pPr>
        <w:spacing w:after="40"/>
      </w:pPr>
      <w:r>
        <w:t xml:space="preserve">☐  EMR under 1.2 confirmed</w:t>
      </w:r>
    </w:p>
    <w:p>
      <w:pPr>
        <w:spacing w:after="40"/>
      </w:pPr>
      <w:r>
        <w:t xml:space="preserve">☐  Subcontract executed with scope, schedule, and payment terms</w:t>
      </w:r>
    </w:p>
    <w:p>
      <w:pPr>
        <w:spacing w:after="40"/>
      </w:pPr>
      <w:r>
        <w:t xml:space="preserve">☐  COI collected naming GC and owner as additional insureds</w:t>
      </w:r>
    </w:p>
    <w:p>
      <w:pPr>
        <w:spacing w:after="40"/>
      </w:pPr>
      <w:r>
        <w:t xml:space="preserve">☐  Subcontractor orientation completed</w:t>
      </w:r>
    </w:p>
    <w:p>
      <w:pPr>
        <w:spacing w:after="40"/>
      </w:pPr>
      <w:r>
        <w:t xml:space="preserve">☐  Daily manpower and progress tracked in Procore</w:t>
      </w:r>
    </w:p>
    <w:p>
      <w:pPr>
        <w:spacing w:after="40"/>
      </w:pPr>
      <w:r>
        <w:t xml:space="preserve">☐  Cure letters issued for documented deficiencies</w:t>
      </w:r>
    </w:p>
    <w:p>
      <w:pPr>
        <w:spacing w:after="40"/>
      </w:pPr>
      <w:r>
        <w:t xml:space="preserve">☐  Monthly pay applications field-verified before approval</w:t>
      </w:r>
    </w:p>
    <w:p>
      <w:pPr>
        <w:spacing w:after="40"/>
      </w:pPr>
      <w:r>
        <w:t xml:space="preserve">☐  Lien waivers collected with each payment</w:t>
      </w:r>
    </w:p>
    <w:p>
      <w:pPr>
        <w:spacing w:after="40"/>
      </w:pPr>
      <w:r>
        <w:t xml:space="preserve">☐  Change orders executed before work proceeds</w:t>
      </w:r>
    </w:p>
    <w:p>
      <w:pPr>
        <w:spacing w:after="40"/>
      </w:pPr>
      <w:r>
        <w:t xml:space="preserve">☐  Closeout documents collected before retainage release</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Prequalification completion rate</w:t>
            </w:r>
          </w:p>
        </w:tc>
        <w:tc>
          <w:tcPr>
            <w:tcMar>
              <w:top w:type="dxa" w:w="60"/>
              <w:left w:type="dxa" w:w="120"/>
              <w:bottom w:type="dxa" w:w="60"/>
              <w:right w:type="dxa" w:w="120"/>
            </w:tcMar>
          </w:tcPr>
          <w:p>
            <w:r>
              <w:rPr>
                <w:b w:val="false"/>
                <w:bCs w:val="false"/>
              </w:rPr>
              <w:t xml:space="preserve">100% of subs prequalified before bid</w:t>
            </w:r>
          </w:p>
        </w:tc>
      </w:tr>
      <w:tr>
        <w:trPr>
          <w:tblHeader w:val="false"/>
        </w:trPr>
        <w:tc>
          <w:tcPr>
            <w:tcMar>
              <w:top w:type="dxa" w:w="60"/>
              <w:left w:type="dxa" w:w="120"/>
              <w:bottom w:type="dxa" w:w="60"/>
              <w:right w:type="dxa" w:w="120"/>
            </w:tcMar>
          </w:tcPr>
          <w:p>
            <w:r>
              <w:rPr>
                <w:b w:val="false"/>
                <w:bCs w:val="false"/>
              </w:rPr>
              <w:t xml:space="preserve">Pay application processing time</w:t>
            </w:r>
          </w:p>
        </w:tc>
        <w:tc>
          <w:tcPr>
            <w:tcMar>
              <w:top w:type="dxa" w:w="60"/>
              <w:left w:type="dxa" w:w="120"/>
              <w:bottom w:type="dxa" w:w="60"/>
              <w:right w:type="dxa" w:w="120"/>
            </w:tcMar>
          </w:tcPr>
          <w:p>
            <w:r>
              <w:rPr>
                <w:b w:val="false"/>
                <w:bCs w:val="false"/>
              </w:rPr>
              <w:t xml:space="preserve">Within 30 days of approved submission</w:t>
            </w:r>
          </w:p>
        </w:tc>
      </w:tr>
      <w:tr>
        <w:trPr>
          <w:tblHeader w:val="false"/>
        </w:trPr>
        <w:tc>
          <w:tcPr>
            <w:tcMar>
              <w:top w:type="dxa" w:w="60"/>
              <w:left w:type="dxa" w:w="120"/>
              <w:bottom w:type="dxa" w:w="60"/>
              <w:right w:type="dxa" w:w="120"/>
            </w:tcMar>
          </w:tcPr>
          <w:p>
            <w:r>
              <w:rPr>
                <w:b w:val="false"/>
                <w:bCs w:val="false"/>
              </w:rPr>
              <w:t xml:space="preserve">Lien waiver collection rate</w:t>
            </w:r>
          </w:p>
        </w:tc>
        <w:tc>
          <w:tcPr>
            <w:tcMar>
              <w:top w:type="dxa" w:w="60"/>
              <w:left w:type="dxa" w:w="120"/>
              <w:bottom w:type="dxa" w:w="60"/>
              <w:right w:type="dxa" w:w="120"/>
            </w:tcMar>
          </w:tcPr>
          <w:p>
            <w:r>
              <w:rPr>
                <w:b w:val="false"/>
                <w:bCs w:val="false"/>
              </w:rPr>
              <w:t xml:space="preserve">100% collected before payment release</w:t>
            </w:r>
          </w:p>
        </w:tc>
      </w:tr>
      <w:tr>
        <w:trPr>
          <w:tblHeader w:val="false"/>
        </w:trPr>
        <w:tc>
          <w:tcPr>
            <w:tcMar>
              <w:top w:type="dxa" w:w="60"/>
              <w:left w:type="dxa" w:w="120"/>
              <w:bottom w:type="dxa" w:w="60"/>
              <w:right w:type="dxa" w:w="120"/>
            </w:tcMar>
          </w:tcPr>
          <w:p>
            <w:r>
              <w:rPr>
                <w:b w:val="false"/>
                <w:bCs w:val="false"/>
              </w:rPr>
              <w:t xml:space="preserve">Subcontractor schedule compliance</w:t>
            </w:r>
          </w:p>
        </w:tc>
        <w:tc>
          <w:tcPr>
            <w:tcMar>
              <w:top w:type="dxa" w:w="60"/>
              <w:left w:type="dxa" w:w="120"/>
              <w:bottom w:type="dxa" w:w="60"/>
              <w:right w:type="dxa" w:w="120"/>
            </w:tcMar>
          </w:tcPr>
          <w:p>
            <w:r>
              <w:rPr>
                <w:b w:val="false"/>
                <w:bCs w:val="false"/>
              </w:rPr>
              <w:t xml:space="preserve">90% of trades on schedule</w:t>
            </w:r>
          </w:p>
        </w:tc>
      </w:tr>
    </w:tbl>
    <w:p>
      <w:pPr>
        <w:pStyle w:val="Heading2"/>
        <w:spacing w:after="100" w:before="240"/>
      </w:pPr>
      <w:r>
        <w:t xml:space="preserve">Revision Schedule</w:t>
      </w:r>
    </w:p>
    <w:p>
      <w:pPr>
        <w:spacing w:after="100"/>
      </w:pPr>
      <w:r>
        <w:t xml:space="preserve">Annually, or after any subcontractor dispute, lien claim, or project with significant schedule overruns.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Vendor Management for Construction</dc:title>
  <dc:creator>Glyde</dc:creator>
  <dc:description>Free vendor management SOP for construction. Covers subcontractor prequalification, performance tracking, and payment processing.</dc:description>
  <cp:lastModifiedBy>Un-named</cp:lastModifiedBy>
  <cp:revision>1</cp:revision>
  <dcterms:created xsi:type="dcterms:W3CDTF">2026-07-22T08:34:36.429Z</dcterms:created>
  <dcterms:modified xsi:type="dcterms:W3CDTF">2026-07-22T08:34:36.429Z</dcterms:modified>
</cp:coreProperties>
</file>

<file path=docProps/custom.xml><?xml version="1.0" encoding="utf-8"?>
<Properties xmlns="http://schemas.openxmlformats.org/officeDocument/2006/custom-properties" xmlns:vt="http://schemas.openxmlformats.org/officeDocument/2006/docPropsVTypes"/>
</file>