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Vendor Management for Financial Services</w:t>
      </w:r>
    </w:p>
    <w:p>
      <w:pPr>
        <w:spacing w:after="200"/>
      </w:pPr>
      <w:r>
        <w:rPr>
          <w:i/>
          <w:iCs/>
          <w:color w:val="6B7280"/>
        </w:rPr>
        <w:t xml:space="preserve">Free vendor management SOP template for financial services. Covers vendor due diligence, risk assessment, contract review, ongoing monitoring, and regulatory compliance.</w:t>
      </w:r>
    </w:p>
    <w:p>
      <w:pPr>
        <w:pStyle w:val="Heading2"/>
        <w:spacing w:after="100" w:before="240"/>
      </w:pPr>
      <w:r>
        <w:t xml:space="preserve">Purpose</w:t>
      </w:r>
    </w:p>
    <w:p>
      <w:pPr>
        <w:spacing w:after="100"/>
      </w:pPr>
      <w:r>
        <w:t xml:space="preserve">Establish a repeatable process for evaluating, onboarding, monitoring, and managing third-party vendors at your financial institution. This SOP ensures that vendor relationships are assessed for risk before contracts are signed, monitored throughout the engagement, and documented to the standard regulators expect. Financial regulators hold your institution accountable for the actions of your vendors — this SOP is how you demonstrate that accountability.</w:t>
      </w:r>
    </w:p>
    <w:p>
      <w:pPr>
        <w:pStyle w:val="Heading2"/>
        <w:spacing w:after="100" w:before="240"/>
      </w:pPr>
      <w:r>
        <w:t xml:space="preserve">Scope</w:t>
      </w:r>
    </w:p>
    <w:p>
      <w:pPr>
        <w:spacing w:after="100"/>
      </w:pPr>
      <w:r>
        <w:t xml:space="preserve">Covers the full lifecycle of third-party vendor relationships at banks, credit unions, investment firms, and fintech companies. Includes initial due diligence, risk assessment, contract review, onboarding, ongoing monitoring, and termination. Applies to all vendors that access customer data, provide critical services, or affect regulatory compliance. Does not cover procurement of commodity goods or services that involve no data access or operational dependency.</w:t>
      </w:r>
    </w:p>
    <w:p>
      <w:pPr>
        <w:pStyle w:val="Heading2"/>
        <w:spacing w:after="100" w:before="240"/>
      </w:pPr>
      <w:r>
        <w:t xml:space="preserve">Prerequisites</w:t>
      </w:r>
    </w:p>
    <w:p>
      <w:pPr>
        <w:pStyle w:val="ListParagraph"/>
        <w:numPr>
          <w:ilvl w:val="0"/>
          <w:numId w:val="1"/>
        </w:numPr>
        <w:spacing w:after="40"/>
      </w:pPr>
      <w:r>
        <w:t xml:space="preserve">Vendor management policy approved by the board of directors</w:t>
      </w:r>
    </w:p>
    <w:p>
      <w:pPr>
        <w:pStyle w:val="ListParagraph"/>
        <w:numPr>
          <w:ilvl w:val="0"/>
          <w:numId w:val="1"/>
        </w:numPr>
        <w:spacing w:after="40"/>
      </w:pPr>
      <w:r>
        <w:t xml:space="preserve">Vendor risk classification framework defined (critical, significant, limited)</w:t>
      </w:r>
    </w:p>
    <w:p>
      <w:pPr>
        <w:pStyle w:val="ListParagraph"/>
        <w:numPr>
          <w:ilvl w:val="0"/>
          <w:numId w:val="1"/>
        </w:numPr>
        <w:spacing w:after="40"/>
      </w:pPr>
      <w:r>
        <w:t xml:space="preserve">Vendor management platform configured (Archer, ServiceNow VRM, or equivalent)</w:t>
      </w:r>
    </w:p>
    <w:p>
      <w:pPr>
        <w:pStyle w:val="ListParagraph"/>
        <w:numPr>
          <w:ilvl w:val="0"/>
          <w:numId w:val="1"/>
        </w:numPr>
        <w:spacing w:after="40"/>
      </w:pPr>
      <w:r>
        <w:t xml:space="preserve">Legal review process established for vendor contracts</w:t>
      </w:r>
    </w:p>
    <w:p>
      <w:pPr>
        <w:pStyle w:val="ListParagraph"/>
        <w:numPr>
          <w:ilvl w:val="0"/>
          <w:numId w:val="1"/>
        </w:numPr>
        <w:spacing w:after="40"/>
      </w:pPr>
      <w:r>
        <w:t xml:space="preserve">SOC report review procedures documented for critical vendors</w:t>
      </w:r>
    </w:p>
    <w:p>
      <w:pPr>
        <w:pStyle w:val="Heading2"/>
        <w:spacing w:after="100" w:before="240"/>
      </w:pPr>
      <w:r>
        <w:t xml:space="preserve">Roles &amp; Responsibilities</w:t>
      </w:r>
    </w:p>
    <w:p>
      <w:pPr>
        <w:spacing w:after="40" w:before="120"/>
      </w:pPr>
      <w:r>
        <w:rPr>
          <w:b/>
          <w:bCs/>
        </w:rPr>
        <w:t xml:space="preserve">Vendor Management Officer</w:t>
      </w:r>
    </w:p>
    <w:p>
      <w:pPr>
        <w:pStyle w:val="ListParagraph"/>
        <w:numPr>
          <w:ilvl w:val="0"/>
          <w:numId w:val="1"/>
        </w:numPr>
        <w:spacing w:after="40"/>
      </w:pPr>
      <w:r>
        <w:t xml:space="preserve">Own the vendor management program and ensure all vendors are assessed and monitored</w:t>
      </w:r>
    </w:p>
    <w:p>
      <w:pPr>
        <w:pStyle w:val="ListParagraph"/>
        <w:numPr>
          <w:ilvl w:val="0"/>
          <w:numId w:val="1"/>
        </w:numPr>
        <w:spacing w:after="40"/>
      </w:pPr>
      <w:r>
        <w:t xml:space="preserve">Maintain the vendor inventory with current risk classifications</w:t>
      </w:r>
    </w:p>
    <w:p>
      <w:pPr>
        <w:pStyle w:val="ListParagraph"/>
        <w:numPr>
          <w:ilvl w:val="0"/>
          <w:numId w:val="1"/>
        </w:numPr>
        <w:spacing w:after="40"/>
      </w:pPr>
      <w:r>
        <w:t xml:space="preserve">Coordinate annual vendor reviews and due diligence renewals</w:t>
      </w:r>
    </w:p>
    <w:p>
      <w:pPr>
        <w:spacing w:after="40" w:before="120"/>
      </w:pPr>
      <w:r>
        <w:rPr>
          <w:b/>
          <w:bCs/>
        </w:rPr>
        <w:t xml:space="preserve">Information Security Officer</w:t>
      </w:r>
    </w:p>
    <w:p>
      <w:pPr>
        <w:pStyle w:val="ListParagraph"/>
        <w:numPr>
          <w:ilvl w:val="0"/>
          <w:numId w:val="1"/>
        </w:numPr>
        <w:spacing w:after="40"/>
      </w:pPr>
      <w:r>
        <w:t xml:space="preserve">Review vendor security posture through SOC reports, penetration test results, and security questionnaires</w:t>
      </w:r>
    </w:p>
    <w:p>
      <w:pPr>
        <w:pStyle w:val="ListParagraph"/>
        <w:numPr>
          <w:ilvl w:val="0"/>
          <w:numId w:val="1"/>
        </w:numPr>
        <w:spacing w:after="40"/>
      </w:pPr>
      <w:r>
        <w:t xml:space="preserve">Assess data security risks for vendors that access or store customer financial data</w:t>
      </w:r>
    </w:p>
    <w:p>
      <w:pPr>
        <w:pStyle w:val="ListParagraph"/>
        <w:numPr>
          <w:ilvl w:val="0"/>
          <w:numId w:val="1"/>
        </w:numPr>
        <w:spacing w:after="40"/>
      </w:pPr>
      <w:r>
        <w:t xml:space="preserve">Approve or reject vendor access to institution systems and data</w:t>
      </w:r>
    </w:p>
    <w:p>
      <w:pPr>
        <w:spacing w:after="40" w:before="120"/>
      </w:pPr>
      <w:r>
        <w:rPr>
          <w:b/>
          <w:bCs/>
        </w:rPr>
        <w:t xml:space="preserve">Compliance Officer</w:t>
      </w:r>
    </w:p>
    <w:p>
      <w:pPr>
        <w:pStyle w:val="ListParagraph"/>
        <w:numPr>
          <w:ilvl w:val="0"/>
          <w:numId w:val="1"/>
        </w:numPr>
        <w:spacing w:after="40"/>
      </w:pPr>
      <w:r>
        <w:t xml:space="preserve">Verify vendor activities comply with applicable regulations (GLBA, BSA/AML, PCI-DSS)</w:t>
      </w:r>
    </w:p>
    <w:p>
      <w:pPr>
        <w:pStyle w:val="ListParagraph"/>
        <w:numPr>
          <w:ilvl w:val="0"/>
          <w:numId w:val="1"/>
        </w:numPr>
        <w:spacing w:after="40"/>
      </w:pPr>
      <w:r>
        <w:t xml:space="preserve">Review vendor contracts for required regulatory clauses</w:t>
      </w:r>
    </w:p>
    <w:p>
      <w:pPr>
        <w:pStyle w:val="ListParagraph"/>
        <w:numPr>
          <w:ilvl w:val="0"/>
          <w:numId w:val="1"/>
        </w:numPr>
        <w:spacing w:after="40"/>
      </w:pPr>
      <w:r>
        <w:t xml:space="preserve">Report vendor management program status to the board and examiners</w:t>
      </w:r>
    </w:p>
    <w:p>
      <w:pPr>
        <w:spacing w:after="40" w:before="120"/>
      </w:pPr>
      <w:r>
        <w:rPr>
          <w:b/>
          <w:bCs/>
        </w:rPr>
        <w:t xml:space="preserve">Business Unit Owner</w:t>
      </w:r>
    </w:p>
    <w:p>
      <w:pPr>
        <w:pStyle w:val="ListParagraph"/>
        <w:numPr>
          <w:ilvl w:val="0"/>
          <w:numId w:val="1"/>
        </w:numPr>
        <w:spacing w:after="40"/>
      </w:pPr>
      <w:r>
        <w:t xml:space="preserve">Serve as the primary relationship owner for vendors in their department</w:t>
      </w:r>
    </w:p>
    <w:p>
      <w:pPr>
        <w:pStyle w:val="ListParagraph"/>
        <w:numPr>
          <w:ilvl w:val="0"/>
          <w:numId w:val="1"/>
        </w:numPr>
        <w:spacing w:after="40"/>
      </w:pPr>
      <w:r>
        <w:t xml:space="preserve">Monitor vendor performance against contract SLAs</w:t>
      </w:r>
    </w:p>
    <w:p>
      <w:pPr>
        <w:pStyle w:val="ListParagraph"/>
        <w:numPr>
          <w:ilvl w:val="0"/>
          <w:numId w:val="1"/>
        </w:numPr>
        <w:spacing w:after="40"/>
      </w:pPr>
      <w:r>
        <w:t xml:space="preserve">Escalate vendor issues to the Vendor Management Officer</w:t>
      </w:r>
    </w:p>
    <w:p>
      <w:pPr>
        <w:pStyle w:val="Heading2"/>
        <w:spacing w:after="100" w:before="240"/>
      </w:pPr>
      <w:r>
        <w:t xml:space="preserve">Procedure</w:t>
      </w:r>
    </w:p>
    <w:p>
      <w:pPr>
        <w:pStyle w:val="Heading3"/>
        <w:spacing w:after="40" w:before="160"/>
      </w:pPr>
      <w:r>
        <w:t xml:space="preserve">Step 1: Identify the vendor need and classify the relationship</w:t>
      </w:r>
    </w:p>
    <w:p>
      <w:pPr>
        <w:spacing w:after="100"/>
      </w:pPr>
      <w:r>
        <w:t xml:space="preserve">Before engaging any new vendor, the requesting business unit must define the business need and the type of relationship being established. Classify the vendor as critical, significant, or limited based on the services they will provide, the data they will access, and the impact on operations if the vendor fails to perform.</w:t>
      </w:r>
    </w:p>
    <w:p>
      <w:pPr>
        <w:pStyle w:val="ListParagraph"/>
        <w:numPr>
          <w:ilvl w:val="1"/>
          <w:numId w:val="1"/>
        </w:numPr>
        <w:spacing w:after="40"/>
      </w:pPr>
      <w:r>
        <w:t xml:space="preserve">Document the business need and why an external vendor is required</w:t>
      </w:r>
    </w:p>
    <w:p>
      <w:pPr>
        <w:pStyle w:val="ListParagraph"/>
        <w:numPr>
          <w:ilvl w:val="1"/>
          <w:numId w:val="1"/>
        </w:numPr>
        <w:spacing w:after="40"/>
      </w:pPr>
      <w:r>
        <w:t xml:space="preserve">Determine what customer data or institution data the vendor will access</w:t>
      </w:r>
    </w:p>
    <w:p>
      <w:pPr>
        <w:pStyle w:val="ListParagraph"/>
        <w:numPr>
          <w:ilvl w:val="1"/>
          <w:numId w:val="1"/>
        </w:numPr>
        <w:spacing w:after="40"/>
      </w:pPr>
      <w:r>
        <w:t xml:space="preserve">Assess the operational impact if the vendor's services are disrupted</w:t>
      </w:r>
    </w:p>
    <w:p>
      <w:pPr>
        <w:pStyle w:val="ListParagraph"/>
        <w:numPr>
          <w:ilvl w:val="1"/>
          <w:numId w:val="1"/>
        </w:numPr>
        <w:spacing w:after="40"/>
      </w:pPr>
      <w:r>
        <w:t xml:space="preserve">Classify the vendor relationship using the risk classification framework</w:t>
      </w:r>
    </w:p>
    <w:p>
      <w:pPr>
        <w:pStyle w:val="ListParagraph"/>
        <w:numPr>
          <w:ilvl w:val="1"/>
          <w:numId w:val="1"/>
        </w:numPr>
        <w:spacing w:after="40"/>
      </w:pPr>
      <w:r>
        <w:t xml:space="preserve">Identify the business unit owner who will manage the relationship</w:t>
      </w:r>
    </w:p>
    <w:p>
      <w:pPr>
        <w:spacing w:after="100"/>
      </w:pPr>
      <w:r>
        <w:rPr>
          <w:i/>
          <w:iCs/>
          <w:color w:val="1F7A4D"/>
        </w:rPr>
        <w:t xml:space="preserve">Tip: Vendors that access customer financial data, provide core banking services, or affect BSA/AML monitoring are almost always classified as critical. When in doubt, classify higher rather than lower — examiners question under-classification more than over-classification.</w:t>
      </w:r>
    </w:p>
    <w:p>
      <w:pPr>
        <w:pStyle w:val="Heading3"/>
        <w:spacing w:after="40" w:before="160"/>
      </w:pPr>
      <w:r>
        <w:t xml:space="preserve">Step 2: Conduct initial due diligence</w:t>
      </w:r>
    </w:p>
    <w:p>
      <w:pPr>
        <w:spacing w:after="100"/>
      </w:pPr>
      <w:r>
        <w:t xml:space="preserve">Before signing any contract, perform due diligence on the vendor's financial stability, security posture, regulatory compliance, and business reputation. The depth of due diligence should match the risk classification — critical vendors require the most thorough review. This step protects your institution from partnering with vendors that create regulatory or operational risk.</w:t>
      </w:r>
    </w:p>
    <w:p>
      <w:pPr>
        <w:pStyle w:val="ListParagraph"/>
        <w:numPr>
          <w:ilvl w:val="1"/>
          <w:numId w:val="1"/>
        </w:numPr>
        <w:spacing w:after="40"/>
      </w:pPr>
      <w:r>
        <w:t xml:space="preserve">Request and review the vendor's most recent SOC 1 and SOC 2 reports</w:t>
      </w:r>
    </w:p>
    <w:p>
      <w:pPr>
        <w:pStyle w:val="ListParagraph"/>
        <w:numPr>
          <w:ilvl w:val="1"/>
          <w:numId w:val="1"/>
        </w:numPr>
        <w:spacing w:after="40"/>
      </w:pPr>
      <w:r>
        <w:t xml:space="preserve">Review the vendor's financial statements or credit rating for stability indicators</w:t>
      </w:r>
    </w:p>
    <w:p>
      <w:pPr>
        <w:pStyle w:val="ListParagraph"/>
        <w:numPr>
          <w:ilvl w:val="1"/>
          <w:numId w:val="1"/>
        </w:numPr>
        <w:spacing w:after="40"/>
      </w:pPr>
      <w:r>
        <w:t xml:space="preserve">Send the institution's vendor security questionnaire and review responses</w:t>
      </w:r>
    </w:p>
    <w:p>
      <w:pPr>
        <w:pStyle w:val="ListParagraph"/>
        <w:numPr>
          <w:ilvl w:val="1"/>
          <w:numId w:val="1"/>
        </w:numPr>
        <w:spacing w:after="40"/>
      </w:pPr>
      <w:r>
        <w:t xml:space="preserve">Verify the vendor's compliance with applicable regulations (PCI-DSS if handling card data, BSA/AML if involved in transaction monitoring)</w:t>
      </w:r>
    </w:p>
    <w:p>
      <w:pPr>
        <w:pStyle w:val="ListParagraph"/>
        <w:numPr>
          <w:ilvl w:val="1"/>
          <w:numId w:val="1"/>
        </w:numPr>
        <w:spacing w:after="40"/>
      </w:pPr>
      <w:r>
        <w:t xml:space="preserve">Check for any regulatory enforcement actions, lawsuits, or negative press about the vendor</w:t>
      </w:r>
    </w:p>
    <w:p>
      <w:pPr>
        <w:pStyle w:val="ListParagraph"/>
        <w:numPr>
          <w:ilvl w:val="1"/>
          <w:numId w:val="1"/>
        </w:numPr>
        <w:spacing w:after="40"/>
      </w:pPr>
      <w:r>
        <w:t xml:space="preserve">For critical vendors: request penetration test results and business continuity plan documentation</w:t>
      </w:r>
    </w:p>
    <w:p>
      <w:pPr>
        <w:spacing w:after="100"/>
      </w:pPr>
      <w:r>
        <w:rPr>
          <w:i/>
          <w:iCs/>
          <w:color w:val="B45309"/>
        </w:rPr>
        <w:t xml:space="preserve">Warning: Never skip due diligence because a vendor is well-known or recommended by another institution. FIS, Fiserv, and Jack Henry are critical vendors that still require SOC report review and contract scrutiny. Regulators expect due diligence on every vendor regardless of reputation.</w:t>
      </w:r>
    </w:p>
    <w:p>
      <w:pPr>
        <w:pStyle w:val="Heading3"/>
        <w:spacing w:after="40" w:before="160"/>
      </w:pPr>
      <w:r>
        <w:t xml:space="preserve">Step 3: Review and negotiate the contract</w:t>
      </w:r>
    </w:p>
    <w:p>
      <w:pPr>
        <w:spacing w:after="100"/>
      </w:pPr>
      <w:r>
        <w:t xml:space="preserve">Have legal counsel review the vendor contract before execution. Financial services vendor contracts must include specific regulatory provisions that general contracts often omit — right to audit, subcontractor controls, data breach notification, regulatory examination access, and termination assistance. These are not nice-to-haves; examiners will check for them.</w:t>
      </w:r>
    </w:p>
    <w:p>
      <w:pPr>
        <w:pStyle w:val="ListParagraph"/>
        <w:numPr>
          <w:ilvl w:val="1"/>
          <w:numId w:val="1"/>
        </w:numPr>
        <w:spacing w:after="40"/>
      </w:pPr>
      <w:r>
        <w:t xml:space="preserve">Verify the contract includes a right-to-audit clause allowing your institution and its regulators to examine the vendor</w:t>
      </w:r>
    </w:p>
    <w:p>
      <w:pPr>
        <w:pStyle w:val="ListParagraph"/>
        <w:numPr>
          <w:ilvl w:val="1"/>
          <w:numId w:val="1"/>
        </w:numPr>
        <w:spacing w:after="40"/>
      </w:pPr>
      <w:r>
        <w:t xml:space="preserve">Confirm data breach notification obligations with specific timeframes (24-72 hours)</w:t>
      </w:r>
    </w:p>
    <w:p>
      <w:pPr>
        <w:pStyle w:val="ListParagraph"/>
        <w:numPr>
          <w:ilvl w:val="1"/>
          <w:numId w:val="1"/>
        </w:numPr>
        <w:spacing w:after="40"/>
      </w:pPr>
      <w:r>
        <w:t xml:space="preserve">Review data handling, encryption, and destruction requirements under GLBA</w:t>
      </w:r>
    </w:p>
    <w:p>
      <w:pPr>
        <w:pStyle w:val="ListParagraph"/>
        <w:numPr>
          <w:ilvl w:val="1"/>
          <w:numId w:val="1"/>
        </w:numPr>
        <w:spacing w:after="40"/>
      </w:pPr>
      <w:r>
        <w:t xml:space="preserve">Include provisions for regulatory examination access per FDIC/OCC/NCUA requirements</w:t>
      </w:r>
    </w:p>
    <w:p>
      <w:pPr>
        <w:pStyle w:val="ListParagraph"/>
        <w:numPr>
          <w:ilvl w:val="1"/>
          <w:numId w:val="1"/>
        </w:numPr>
        <w:spacing w:after="40"/>
      </w:pPr>
      <w:r>
        <w:t xml:space="preserve">Negotiate termination assistance provisions including data return and transition support</w:t>
      </w:r>
    </w:p>
    <w:p>
      <w:pPr>
        <w:pStyle w:val="ListParagraph"/>
        <w:numPr>
          <w:ilvl w:val="1"/>
          <w:numId w:val="1"/>
        </w:numPr>
        <w:spacing w:after="40"/>
      </w:pPr>
      <w:r>
        <w:t xml:space="preserve">Verify SLAs match the institution's operational requirements</w:t>
      </w:r>
    </w:p>
    <w:p>
      <w:pPr>
        <w:pStyle w:val="Heading3"/>
        <w:spacing w:after="40" w:before="160"/>
      </w:pPr>
      <w:r>
        <w:t xml:space="preserve">Step 4: Onboard the vendor</w:t>
      </w:r>
    </w:p>
    <w:p>
      <w:pPr>
        <w:spacing w:after="100"/>
      </w:pPr>
      <w:r>
        <w:t xml:space="preserve">Once the contract is signed, formally onboard the vendor into your vendor management program. Create the vendor record in your VRM platform, establish communication channels, provision any required system access under the principle of least privilege, and schedule the initial performance review.</w:t>
      </w:r>
    </w:p>
    <w:p>
      <w:pPr>
        <w:pStyle w:val="ListParagraph"/>
        <w:numPr>
          <w:ilvl w:val="1"/>
          <w:numId w:val="1"/>
        </w:numPr>
        <w:spacing w:after="40"/>
      </w:pPr>
      <w:r>
        <w:t xml:space="preserve">Create the vendor record in the vendor management platform with risk classification and contract details</w:t>
      </w:r>
    </w:p>
    <w:p>
      <w:pPr>
        <w:pStyle w:val="ListParagraph"/>
        <w:numPr>
          <w:ilvl w:val="1"/>
          <w:numId w:val="1"/>
        </w:numPr>
        <w:spacing w:after="40"/>
      </w:pPr>
      <w:r>
        <w:t xml:space="preserve">Provision system access with minimum necessary permissions</w:t>
      </w:r>
    </w:p>
    <w:p>
      <w:pPr>
        <w:pStyle w:val="ListParagraph"/>
        <w:numPr>
          <w:ilvl w:val="1"/>
          <w:numId w:val="1"/>
        </w:numPr>
        <w:spacing w:after="40"/>
      </w:pPr>
      <w:r>
        <w:t xml:space="preserve">Establish primary and escalation contacts at both the vendor and the institution</w:t>
      </w:r>
    </w:p>
    <w:p>
      <w:pPr>
        <w:pStyle w:val="ListParagraph"/>
        <w:numPr>
          <w:ilvl w:val="1"/>
          <w:numId w:val="1"/>
        </w:numPr>
        <w:spacing w:after="40"/>
      </w:pPr>
      <w:r>
        <w:t xml:space="preserve">Schedule the first performance review date based on risk classification</w:t>
      </w:r>
    </w:p>
    <w:p>
      <w:pPr>
        <w:pStyle w:val="ListParagraph"/>
        <w:numPr>
          <w:ilvl w:val="1"/>
          <w:numId w:val="1"/>
        </w:numPr>
        <w:spacing w:after="40"/>
      </w:pPr>
      <w:r>
        <w:t xml:space="preserve">Distribute the vendor management policy to the vendor's designated contact</w:t>
      </w:r>
    </w:p>
    <w:p>
      <w:pPr>
        <w:pStyle w:val="Heading3"/>
        <w:spacing w:after="40" w:before="160"/>
      </w:pPr>
      <w:r>
        <w:t xml:space="preserve">Step 5: Monitor vendor performance on an ongoing basis</w:t>
      </w:r>
    </w:p>
    <w:p>
      <w:pPr>
        <w:spacing w:after="100"/>
      </w:pPr>
      <w:r>
        <w:t xml:space="preserve">Continuously monitor vendor performance against contract SLAs and conduct periodic reviews based on the risk classification. Critical vendors should be reviewed quarterly. Significant vendors should be reviewed semi-annually. Limited vendors should be reviewed annually. Track incidents, SLA breaches, and any changes to the vendor's risk profile.</w:t>
      </w:r>
    </w:p>
    <w:p>
      <w:pPr>
        <w:pStyle w:val="ListParagraph"/>
        <w:numPr>
          <w:ilvl w:val="1"/>
          <w:numId w:val="1"/>
        </w:numPr>
        <w:spacing w:after="40"/>
      </w:pPr>
      <w:r>
        <w:t xml:space="preserve">Track vendor SLA performance metrics and report deviations</w:t>
      </w:r>
    </w:p>
    <w:p>
      <w:pPr>
        <w:pStyle w:val="ListParagraph"/>
        <w:numPr>
          <w:ilvl w:val="1"/>
          <w:numId w:val="1"/>
        </w:numPr>
        <w:spacing w:after="40"/>
      </w:pPr>
      <w:r>
        <w:t xml:space="preserve">Review vendor incident reports and assess impact on your institution</w:t>
      </w:r>
    </w:p>
    <w:p>
      <w:pPr>
        <w:pStyle w:val="ListParagraph"/>
        <w:numPr>
          <w:ilvl w:val="1"/>
          <w:numId w:val="1"/>
        </w:numPr>
        <w:spacing w:after="40"/>
      </w:pPr>
      <w:r>
        <w:t xml:space="preserve">Monitor the vendor's financial health for signs of instability</w:t>
      </w:r>
    </w:p>
    <w:p>
      <w:pPr>
        <w:pStyle w:val="ListParagraph"/>
        <w:numPr>
          <w:ilvl w:val="1"/>
          <w:numId w:val="1"/>
        </w:numPr>
        <w:spacing w:after="40"/>
      </w:pPr>
      <w:r>
        <w:t xml:space="preserve">Collect updated SOC reports annually and review for new findings or exceptions</w:t>
      </w:r>
    </w:p>
    <w:p>
      <w:pPr>
        <w:pStyle w:val="ListParagraph"/>
        <w:numPr>
          <w:ilvl w:val="1"/>
          <w:numId w:val="1"/>
        </w:numPr>
        <w:spacing w:after="40"/>
      </w:pPr>
      <w:r>
        <w:t xml:space="preserve">Conduct on-site reviews for critical vendors as warranted by risk</w:t>
      </w:r>
    </w:p>
    <w:p>
      <w:pPr>
        <w:spacing w:after="100"/>
      </w:pPr>
      <w:r>
        <w:rPr>
          <w:i/>
          <w:iCs/>
          <w:color w:val="1F7A4D"/>
        </w:rPr>
        <w:t xml:space="preserve">Tip: Set up automated alerts for vendor SLA breaches in your VRM platform. Do not wait for the periodic review to discover performance problems — address them as they occur.</w:t>
      </w:r>
    </w:p>
    <w:p>
      <w:pPr>
        <w:pStyle w:val="Heading3"/>
        <w:spacing w:after="40" w:before="160"/>
      </w:pPr>
      <w:r>
        <w:t xml:space="preserve">Step 6: Conduct annual due diligence renewal</w:t>
      </w:r>
    </w:p>
    <w:p>
      <w:pPr>
        <w:spacing w:after="100"/>
      </w:pPr>
      <w:r>
        <w:t xml:space="preserve">Renew the full due diligence assessment for each vendor annually. This is not a rubber stamp — re-evaluate the vendor's financial stability, security posture, and compliance standing. Regulatory examiners expect to see current due diligence, not a one-time assessment from the year the contract was signed.</w:t>
      </w:r>
    </w:p>
    <w:p>
      <w:pPr>
        <w:pStyle w:val="ListParagraph"/>
        <w:numPr>
          <w:ilvl w:val="1"/>
          <w:numId w:val="1"/>
        </w:numPr>
        <w:spacing w:after="40"/>
      </w:pPr>
      <w:r>
        <w:t xml:space="preserve">Request updated SOC 1 and SOC 2 reports and review for changes from prior year</w:t>
      </w:r>
    </w:p>
    <w:p>
      <w:pPr>
        <w:pStyle w:val="ListParagraph"/>
        <w:numPr>
          <w:ilvl w:val="1"/>
          <w:numId w:val="1"/>
        </w:numPr>
        <w:spacing w:after="40"/>
      </w:pPr>
      <w:r>
        <w:t xml:space="preserve">Send the annual vendor security questionnaire and compare responses to prior year</w:t>
      </w:r>
    </w:p>
    <w:p>
      <w:pPr>
        <w:pStyle w:val="ListParagraph"/>
        <w:numPr>
          <w:ilvl w:val="1"/>
          <w:numId w:val="1"/>
        </w:numPr>
        <w:spacing w:after="40"/>
      </w:pPr>
      <w:r>
        <w:t xml:space="preserve">Review the vendor's financial condition for any deterioration</w:t>
      </w:r>
    </w:p>
    <w:p>
      <w:pPr>
        <w:pStyle w:val="ListParagraph"/>
        <w:numPr>
          <w:ilvl w:val="1"/>
          <w:numId w:val="1"/>
        </w:numPr>
        <w:spacing w:after="40"/>
      </w:pPr>
      <w:r>
        <w:t xml:space="preserve">Check for new regulatory actions, lawsuits, or data breach disclosures</w:t>
      </w:r>
    </w:p>
    <w:p>
      <w:pPr>
        <w:pStyle w:val="ListParagraph"/>
        <w:numPr>
          <w:ilvl w:val="1"/>
          <w:numId w:val="1"/>
        </w:numPr>
        <w:spacing w:after="40"/>
      </w:pPr>
      <w:r>
        <w:t xml:space="preserve">Update the risk classification if the vendor's risk profile has changed</w:t>
      </w:r>
    </w:p>
    <w:p>
      <w:pPr>
        <w:pStyle w:val="Heading3"/>
        <w:spacing w:after="40" w:before="160"/>
      </w:pPr>
      <w:r>
        <w:t xml:space="preserve">Step 7: Report to the board and prepare for examination</w:t>
      </w:r>
    </w:p>
    <w:p>
      <w:pPr>
        <w:spacing w:after="100"/>
      </w:pPr>
      <w:r>
        <w:t xml:space="preserve">Prepare periodic reports on the vendor management program for the board of directors and maintain examination-ready documentation. OCC, FDIC, and NCUA guidance requires board oversight of third-party risk management. Your board report should cover the vendor inventory, risk classifications, monitoring results, and any significant issues.</w:t>
      </w:r>
    </w:p>
    <w:p>
      <w:pPr>
        <w:pStyle w:val="ListParagraph"/>
        <w:numPr>
          <w:ilvl w:val="1"/>
          <w:numId w:val="1"/>
        </w:numPr>
        <w:spacing w:after="40"/>
      </w:pPr>
      <w:r>
        <w:t xml:space="preserve">Compile the quarterly or semi-annual vendor management report for the board</w:t>
      </w:r>
    </w:p>
    <w:p>
      <w:pPr>
        <w:pStyle w:val="ListParagraph"/>
        <w:numPr>
          <w:ilvl w:val="1"/>
          <w:numId w:val="1"/>
        </w:numPr>
        <w:spacing w:after="40"/>
      </w:pPr>
      <w:r>
        <w:t xml:space="preserve">Summarize new vendor relationships, terminated relationships, and risk classification changes</w:t>
      </w:r>
    </w:p>
    <w:p>
      <w:pPr>
        <w:pStyle w:val="ListParagraph"/>
        <w:numPr>
          <w:ilvl w:val="1"/>
          <w:numId w:val="1"/>
        </w:numPr>
        <w:spacing w:after="40"/>
      </w:pPr>
      <w:r>
        <w:t xml:space="preserve">Highlight any vendors with SLA breaches, audit findings, or financial concerns</w:t>
      </w:r>
    </w:p>
    <w:p>
      <w:pPr>
        <w:pStyle w:val="ListParagraph"/>
        <w:numPr>
          <w:ilvl w:val="1"/>
          <w:numId w:val="1"/>
        </w:numPr>
        <w:spacing w:after="40"/>
      </w:pPr>
      <w:r>
        <w:t xml:space="preserve">Maintain examination-ready documentation including the vendor inventory, due diligence files, and monitoring records</w:t>
      </w:r>
    </w:p>
    <w:p>
      <w:pPr>
        <w:pStyle w:val="Heading3"/>
        <w:spacing w:after="40" w:before="160"/>
      </w:pPr>
      <w:r>
        <w:t xml:space="preserve">Step 8: Manage vendor termination and offboarding</w:t>
      </w:r>
    </w:p>
    <w:p>
      <w:pPr>
        <w:spacing w:after="100"/>
      </w:pPr>
      <w:r>
        <w:t xml:space="preserve">When a vendor relationship ends — whether by contract expiration, termination for cause, or migration to a replacement vendor — follow a structured offboarding process. Ensure all institution data is returned or destroyed, system access is revoked, and transition activities are completed without disruption to operations.</w:t>
      </w:r>
    </w:p>
    <w:p>
      <w:pPr>
        <w:pStyle w:val="ListParagraph"/>
        <w:numPr>
          <w:ilvl w:val="1"/>
          <w:numId w:val="1"/>
        </w:numPr>
        <w:spacing w:after="40"/>
      </w:pPr>
      <w:r>
        <w:t xml:space="preserve">Notify the vendor of termination per contract provisions</w:t>
      </w:r>
    </w:p>
    <w:p>
      <w:pPr>
        <w:pStyle w:val="ListParagraph"/>
        <w:numPr>
          <w:ilvl w:val="1"/>
          <w:numId w:val="1"/>
        </w:numPr>
        <w:spacing w:after="40"/>
      </w:pPr>
      <w:r>
        <w:t xml:space="preserve">Invoke termination assistance provisions for data return and transition support</w:t>
      </w:r>
    </w:p>
    <w:p>
      <w:pPr>
        <w:pStyle w:val="ListParagraph"/>
        <w:numPr>
          <w:ilvl w:val="1"/>
          <w:numId w:val="1"/>
        </w:numPr>
        <w:spacing w:after="40"/>
      </w:pPr>
      <w:r>
        <w:t xml:space="preserve">Revoke all vendor access to institution systems, networks, and data</w:t>
      </w:r>
    </w:p>
    <w:p>
      <w:pPr>
        <w:pStyle w:val="ListParagraph"/>
        <w:numPr>
          <w:ilvl w:val="1"/>
          <w:numId w:val="1"/>
        </w:numPr>
        <w:spacing w:after="40"/>
      </w:pPr>
      <w:r>
        <w:t xml:space="preserve">Obtain written confirmation of data destruction from the vendor</w:t>
      </w:r>
    </w:p>
    <w:p>
      <w:pPr>
        <w:pStyle w:val="ListParagraph"/>
        <w:numPr>
          <w:ilvl w:val="1"/>
          <w:numId w:val="1"/>
        </w:numPr>
        <w:spacing w:after="40"/>
      </w:pPr>
      <w:r>
        <w:t xml:space="preserve">Update the vendor inventory and archive the vendor record</w:t>
      </w:r>
    </w:p>
    <w:p>
      <w:pPr>
        <w:spacing w:after="100"/>
      </w:pPr>
      <w:r>
        <w:rPr>
          <w:i/>
          <w:iCs/>
          <w:color w:val="B45309"/>
        </w:rPr>
        <w:t xml:space="preserve">Warning: Do not allow a terminated vendor to retain copies of customer financial data. Obtain a certificate of data destruction and retain it as part of your compliance records. GLBA requires safeguarding customer data even after the vendor relationship ends.</w:t>
      </w:r>
    </w:p>
    <w:p>
      <w:pPr>
        <w:pStyle w:val="Heading2"/>
        <w:spacing w:after="100" w:before="240"/>
      </w:pPr>
      <w:r>
        <w:t xml:space="preserve">Completion Checklist</w:t>
      </w:r>
    </w:p>
    <w:p>
      <w:pPr>
        <w:spacing w:after="40"/>
      </w:pPr>
      <w:r>
        <w:t xml:space="preserve">☐  Vendor need documented with business justification</w:t>
      </w:r>
    </w:p>
    <w:p>
      <w:pPr>
        <w:spacing w:after="40"/>
      </w:pPr>
      <w:r>
        <w:t xml:space="preserve">☐  Vendor classified by risk level (critical, significant, limited)</w:t>
      </w:r>
    </w:p>
    <w:p>
      <w:pPr>
        <w:spacing w:after="40"/>
      </w:pPr>
      <w:r>
        <w:t xml:space="preserve">☐  Initial due diligence completed (SOC reports, financials, security questionnaire)</w:t>
      </w:r>
    </w:p>
    <w:p>
      <w:pPr>
        <w:spacing w:after="40"/>
      </w:pPr>
      <w:r>
        <w:t xml:space="preserve">☐  Contract reviewed by legal with all required regulatory clauses</w:t>
      </w:r>
    </w:p>
    <w:p>
      <w:pPr>
        <w:spacing w:after="40"/>
      </w:pPr>
      <w:r>
        <w:t xml:space="preserve">☐  Right-to-audit and regulatory examination access provisions included in contract</w:t>
      </w:r>
    </w:p>
    <w:p>
      <w:pPr>
        <w:spacing w:after="40"/>
      </w:pPr>
      <w:r>
        <w:t xml:space="preserve">☐  Vendor record created in VRM platform with risk classification</w:t>
      </w:r>
    </w:p>
    <w:p>
      <w:pPr>
        <w:spacing w:after="40"/>
      </w:pPr>
      <w:r>
        <w:t xml:space="preserve">☐  System access provisioned with minimum necessary permissions</w:t>
      </w:r>
    </w:p>
    <w:p>
      <w:pPr>
        <w:spacing w:after="40"/>
      </w:pPr>
      <w:r>
        <w:t xml:space="preserve">☐  Ongoing monitoring schedule established based on risk classification</w:t>
      </w:r>
    </w:p>
    <w:p>
      <w:pPr>
        <w:spacing w:after="40"/>
      </w:pPr>
      <w:r>
        <w:t xml:space="preserve">☐  Annual due diligence renewal completed and documented</w:t>
      </w:r>
    </w:p>
    <w:p>
      <w:pPr>
        <w:spacing w:after="40"/>
      </w:pPr>
      <w:r>
        <w:t xml:space="preserve">☐  Board reporting on vendor management program current</w:t>
      </w:r>
    </w:p>
    <w:p>
      <w:pPr>
        <w:spacing w:after="40"/>
      </w:pPr>
      <w:r>
        <w:t xml:space="preserve">☐  Examination-ready documentation maintained and accessible</w:t>
      </w:r>
    </w:p>
    <w:p>
      <w:pPr>
        <w:spacing w:after="40"/>
      </w:pPr>
      <w:r>
        <w:t xml:space="preserve">☐  Terminated vendors fully offboarded with data destruction confirmed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Vendors with current due diligence on file</w:t>
            </w:r>
          </w:p>
        </w:tc>
        <w:tc>
          <w:tcPr>
            <w:tcMar>
              <w:top w:type="dxa" w:w="60"/>
              <w:left w:type="dxa" w:w="120"/>
              <w:bottom w:type="dxa" w:w="60"/>
              <w:right w:type="dxa" w:w="120"/>
            </w:tcMar>
          </w:tcPr>
          <w:p>
            <w:r>
              <w:rPr>
                <w:b w:val="false"/>
                <w:bCs w:val="false"/>
              </w:rPr>
              <w:t xml:space="preserve">100% of active vendors</w:t>
            </w:r>
          </w:p>
        </w:tc>
      </w:tr>
      <w:tr>
        <w:trPr>
          <w:tblHeader w:val="false"/>
        </w:trPr>
        <w:tc>
          <w:tcPr>
            <w:tcMar>
              <w:top w:type="dxa" w:w="60"/>
              <w:left w:type="dxa" w:w="120"/>
              <w:bottom w:type="dxa" w:w="60"/>
              <w:right w:type="dxa" w:w="120"/>
            </w:tcMar>
          </w:tcPr>
          <w:p>
            <w:r>
              <w:rPr>
                <w:b w:val="false"/>
                <w:bCs w:val="false"/>
              </w:rPr>
              <w:t xml:space="preserve">Critical vendor review frequency</w:t>
            </w:r>
          </w:p>
        </w:tc>
        <w:tc>
          <w:tcPr>
            <w:tcMar>
              <w:top w:type="dxa" w:w="60"/>
              <w:left w:type="dxa" w:w="120"/>
              <w:bottom w:type="dxa" w:w="60"/>
              <w:right w:type="dxa" w:w="120"/>
            </w:tcMar>
          </w:tcPr>
          <w:p>
            <w:r>
              <w:rPr>
                <w:b w:val="false"/>
                <w:bCs w:val="false"/>
              </w:rPr>
              <w:t xml:space="preserve">Quarterly reviews completed on schedule</w:t>
            </w:r>
          </w:p>
        </w:tc>
      </w:tr>
      <w:tr>
        <w:trPr>
          <w:tblHeader w:val="false"/>
        </w:trPr>
        <w:tc>
          <w:tcPr>
            <w:tcMar>
              <w:top w:type="dxa" w:w="60"/>
              <w:left w:type="dxa" w:w="120"/>
              <w:bottom w:type="dxa" w:w="60"/>
              <w:right w:type="dxa" w:w="120"/>
            </w:tcMar>
          </w:tcPr>
          <w:p>
            <w:r>
              <w:rPr>
                <w:b w:val="false"/>
                <w:bCs w:val="false"/>
              </w:rPr>
              <w:t xml:space="preserve">Vendor SLA compliance rate</w:t>
            </w:r>
          </w:p>
        </w:tc>
        <w:tc>
          <w:tcPr>
            <w:tcMar>
              <w:top w:type="dxa" w:w="60"/>
              <w:left w:type="dxa" w:w="120"/>
              <w:bottom w:type="dxa" w:w="60"/>
              <w:right w:type="dxa" w:w="120"/>
            </w:tcMar>
          </w:tcPr>
          <w:p>
            <w:r>
              <w:rPr>
                <w:b w:val="false"/>
                <w:bCs w:val="false"/>
              </w:rPr>
              <w:t xml:space="preserve">95% or higher across all vendors</w:t>
            </w:r>
          </w:p>
        </w:tc>
      </w:tr>
      <w:tr>
        <w:trPr>
          <w:tblHeader w:val="false"/>
        </w:trPr>
        <w:tc>
          <w:tcPr>
            <w:tcMar>
              <w:top w:type="dxa" w:w="60"/>
              <w:left w:type="dxa" w:w="120"/>
              <w:bottom w:type="dxa" w:w="60"/>
              <w:right w:type="dxa" w:w="120"/>
            </w:tcMar>
          </w:tcPr>
          <w:p>
            <w:r>
              <w:rPr>
                <w:b w:val="false"/>
                <w:bCs w:val="false"/>
              </w:rPr>
              <w:t xml:space="preserve">Board reporting timeliness</w:t>
            </w:r>
          </w:p>
        </w:tc>
        <w:tc>
          <w:tcPr>
            <w:tcMar>
              <w:top w:type="dxa" w:w="60"/>
              <w:left w:type="dxa" w:w="120"/>
              <w:bottom w:type="dxa" w:w="60"/>
              <w:right w:type="dxa" w:w="120"/>
            </w:tcMar>
          </w:tcPr>
          <w:p>
            <w:r>
              <w:rPr>
                <w:b w:val="false"/>
                <w:bCs w:val="false"/>
              </w:rPr>
              <w:t xml:space="preserve">Report delivered at every scheduled board meeting</w:t>
            </w:r>
          </w:p>
        </w:tc>
      </w:tr>
      <w:tr>
        <w:trPr>
          <w:tblHeader w:val="false"/>
        </w:trPr>
        <w:tc>
          <w:tcPr>
            <w:tcMar>
              <w:top w:type="dxa" w:w="60"/>
              <w:left w:type="dxa" w:w="120"/>
              <w:bottom w:type="dxa" w:w="60"/>
              <w:right w:type="dxa" w:w="120"/>
            </w:tcMar>
          </w:tcPr>
          <w:p>
            <w:r>
              <w:rPr>
                <w:b w:val="false"/>
                <w:bCs w:val="false"/>
              </w:rPr>
              <w:t xml:space="preserve">Vendor data destruction confirmation upon termination</w:t>
            </w:r>
          </w:p>
        </w:tc>
        <w:tc>
          <w:tcPr>
            <w:tcMar>
              <w:top w:type="dxa" w:w="60"/>
              <w:left w:type="dxa" w:w="120"/>
              <w:bottom w:type="dxa" w:w="60"/>
              <w:right w:type="dxa" w:w="120"/>
            </w:tcMar>
          </w:tcPr>
          <w:p>
            <w:r>
              <w:rPr>
                <w:b w:val="false"/>
                <w:bCs w:val="false"/>
              </w:rPr>
              <w:t xml:space="preserve">100% of terminated vendors provide written confirmation</w:t>
            </w:r>
          </w:p>
        </w:tc>
      </w:tr>
    </w:tbl>
    <w:p>
      <w:pPr>
        <w:pStyle w:val="Heading2"/>
        <w:spacing w:after="100" w:before="240"/>
      </w:pPr>
      <w:r>
        <w:t xml:space="preserve">Revision Schedule</w:t>
      </w:r>
    </w:p>
    <w:p>
      <w:pPr>
        <w:spacing w:after="100"/>
      </w:pPr>
      <w:r>
        <w:t xml:space="preserve">Annually, or immediately after OCC/FDIC/NCUA examination findings related to third-party risk management, or after issuance of new interagency vendor management guidance.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Vendor Management for Financial Services</dc:title>
  <dc:creator>Glyde</dc:creator>
  <dc:description>Free vendor management SOP template for financial services. Covers vendor due diligence, risk assessment, contract review, ongoing monitoring, and regulatory compliance.</dc:description>
  <cp:lastModifiedBy>Un-named</cp:lastModifiedBy>
  <cp:revision>1</cp:revision>
  <dcterms:created xsi:type="dcterms:W3CDTF">2026-07-22T08:34:36.444Z</dcterms:created>
  <dcterms:modified xsi:type="dcterms:W3CDTF">2026-07-22T08:34:36.444Z</dcterms:modified>
</cp:coreProperties>
</file>

<file path=docProps/custom.xml><?xml version="1.0" encoding="utf-8"?>
<Properties xmlns="http://schemas.openxmlformats.org/officeDocument/2006/custom-properties" xmlns:vt="http://schemas.openxmlformats.org/officeDocument/2006/docPropsVTypes"/>
</file>