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Legal Vendor Management Standard Operating Procedure Template</w:t>
      </w:r>
    </w:p>
    <w:p>
      <w:pPr>
        <w:spacing w:after="200"/>
      </w:pPr>
      <w:r>
        <w:rPr>
          <w:i/>
          <w:iCs/>
          <w:color w:val="6B7280"/>
        </w:rPr>
        <w:t xml:space="preserve">Free vendor management SOP for law firms. Covers vendor evaluation, confidentiality agreements, and contract management.</w:t>
      </w:r>
    </w:p>
    <w:p>
      <w:pPr>
        <w:pStyle w:val="Heading2"/>
        <w:spacing w:after="100" w:before="240"/>
      </w:pPr>
      <w:r>
        <w:t xml:space="preserve">Purpose</w:t>
      </w:r>
    </w:p>
    <w:p>
      <w:pPr>
        <w:spacing w:after="100"/>
      </w:pPr>
      <w:r>
        <w:t xml:space="preserve">Standardize how the firm evaluates, onboards, and manages third-party vendors so that every vendor with access to client data signs appropriate confidentiality agreements and meets the firm's security requirements. Law firms that use ad hoc vendor selection risk confidentiality breaches, overspending, and vendor lock-in.</w:t>
      </w:r>
    </w:p>
    <w:p>
      <w:pPr>
        <w:pStyle w:val="Heading2"/>
        <w:spacing w:after="100" w:before="240"/>
      </w:pPr>
      <w:r>
        <w:t xml:space="preserve">Scope</w:t>
      </w:r>
    </w:p>
    <w:p>
      <w:pPr>
        <w:spacing w:after="100"/>
      </w:pPr>
      <w:r>
        <w:t xml:space="preserve">Covers vendor evaluation, onboarding, ongoing management, and termination for all firm vendors including IT providers, court reporting services, legal research platforms, and office supply vendors. Does not cover expert witness retention, which follows a separate matter-specific process.</w:t>
      </w:r>
    </w:p>
    <w:p>
      <w:pPr>
        <w:pStyle w:val="Heading2"/>
        <w:spacing w:after="100" w:before="240"/>
      </w:pPr>
      <w:r>
        <w:t xml:space="preserve">Prerequisites</w:t>
      </w:r>
    </w:p>
    <w:p>
      <w:pPr>
        <w:pStyle w:val="ListParagraph"/>
        <w:numPr>
          <w:ilvl w:val="0"/>
          <w:numId w:val="1"/>
        </w:numPr>
        <w:spacing w:after="40"/>
      </w:pPr>
      <w:r>
        <w:t xml:space="preserve">Approved vendor list maintained in the firm shared drive</w:t>
      </w:r>
    </w:p>
    <w:p>
      <w:pPr>
        <w:pStyle w:val="ListParagraph"/>
        <w:numPr>
          <w:ilvl w:val="0"/>
          <w:numId w:val="1"/>
        </w:numPr>
        <w:spacing w:after="40"/>
      </w:pPr>
      <w:r>
        <w:t xml:space="preserve">Vendor confidentiality agreement template approved by the managing partner</w:t>
      </w:r>
    </w:p>
    <w:p>
      <w:pPr>
        <w:pStyle w:val="ListParagraph"/>
        <w:numPr>
          <w:ilvl w:val="0"/>
          <w:numId w:val="1"/>
        </w:numPr>
        <w:spacing w:after="40"/>
      </w:pPr>
      <w:r>
        <w:t xml:space="preserve">Vendor evaluation scorecard template available</w:t>
      </w:r>
    </w:p>
    <w:p>
      <w:pPr>
        <w:pStyle w:val="ListParagraph"/>
        <w:numPr>
          <w:ilvl w:val="0"/>
          <w:numId w:val="1"/>
        </w:numPr>
        <w:spacing w:after="40"/>
      </w:pPr>
      <w:r>
        <w:t xml:space="preserve">Annual vendor review schedule established</w:t>
      </w:r>
    </w:p>
    <w:p>
      <w:pPr>
        <w:pStyle w:val="Heading2"/>
        <w:spacing w:after="100" w:before="240"/>
      </w:pPr>
      <w:r>
        <w:t xml:space="preserve">Roles &amp; Responsibilities</w:t>
      </w:r>
    </w:p>
    <w:p>
      <w:pPr>
        <w:spacing w:after="40" w:before="120"/>
      </w:pPr>
      <w:r>
        <w:rPr>
          <w:b/>
          <w:bCs/>
        </w:rPr>
        <w:t xml:space="preserve">Office Manager</w:t>
      </w:r>
    </w:p>
    <w:p>
      <w:pPr>
        <w:pStyle w:val="ListParagraph"/>
        <w:numPr>
          <w:ilvl w:val="0"/>
          <w:numId w:val="1"/>
        </w:numPr>
        <w:spacing w:after="40"/>
      </w:pPr>
      <w:r>
        <w:t xml:space="preserve">Maintain the approved vendor list and contracts in NetDocuments</w:t>
      </w:r>
    </w:p>
    <w:p>
      <w:pPr>
        <w:pStyle w:val="ListParagraph"/>
        <w:numPr>
          <w:ilvl w:val="0"/>
          <w:numId w:val="1"/>
        </w:numPr>
        <w:spacing w:after="40"/>
      </w:pPr>
      <w:r>
        <w:t xml:space="preserve">Conduct initial vendor screening and reference checks</w:t>
      </w:r>
    </w:p>
    <w:p>
      <w:pPr>
        <w:pStyle w:val="ListParagraph"/>
        <w:numPr>
          <w:ilvl w:val="0"/>
          <w:numId w:val="1"/>
        </w:numPr>
        <w:spacing w:after="40"/>
      </w:pPr>
      <w:r>
        <w:t xml:space="preserve">Schedule and lead annual vendor performance reviews</w:t>
      </w:r>
    </w:p>
    <w:p>
      <w:pPr>
        <w:spacing w:after="40" w:before="120"/>
      </w:pPr>
      <w:r>
        <w:rPr>
          <w:b/>
          <w:bCs/>
        </w:rPr>
        <w:t xml:space="preserve">Managing Partner</w:t>
      </w:r>
    </w:p>
    <w:p>
      <w:pPr>
        <w:pStyle w:val="ListParagraph"/>
        <w:numPr>
          <w:ilvl w:val="0"/>
          <w:numId w:val="1"/>
        </w:numPr>
        <w:spacing w:after="40"/>
      </w:pPr>
      <w:r>
        <w:t xml:space="preserve">Approve new vendors above the firm's spending threshold</w:t>
      </w:r>
    </w:p>
    <w:p>
      <w:pPr>
        <w:pStyle w:val="ListParagraph"/>
        <w:numPr>
          <w:ilvl w:val="0"/>
          <w:numId w:val="1"/>
        </w:numPr>
        <w:spacing w:after="40"/>
      </w:pPr>
      <w:r>
        <w:t xml:space="preserve">Review and sign vendor contracts with confidentiality provisions</w:t>
      </w:r>
    </w:p>
    <w:p>
      <w:pPr>
        <w:pStyle w:val="ListParagraph"/>
        <w:numPr>
          <w:ilvl w:val="0"/>
          <w:numId w:val="1"/>
        </w:numPr>
        <w:spacing w:after="40"/>
      </w:pPr>
      <w:r>
        <w:t xml:space="preserve">Approve vendor terminations and replacement selections</w:t>
      </w:r>
    </w:p>
    <w:p>
      <w:pPr>
        <w:spacing w:after="40" w:before="120"/>
      </w:pPr>
      <w:r>
        <w:rPr>
          <w:b/>
          <w:bCs/>
        </w:rPr>
        <w:t xml:space="preserve">IT Administrator</w:t>
      </w:r>
    </w:p>
    <w:p>
      <w:pPr>
        <w:pStyle w:val="ListParagraph"/>
        <w:numPr>
          <w:ilvl w:val="0"/>
          <w:numId w:val="1"/>
        </w:numPr>
        <w:spacing w:after="40"/>
      </w:pPr>
      <w:r>
        <w:t xml:space="preserve">Evaluate vendor security practices for any vendor accessing firm systems</w:t>
      </w:r>
    </w:p>
    <w:p>
      <w:pPr>
        <w:pStyle w:val="ListParagraph"/>
        <w:numPr>
          <w:ilvl w:val="0"/>
          <w:numId w:val="1"/>
        </w:numPr>
        <w:spacing w:after="40"/>
      </w:pPr>
      <w:r>
        <w:t xml:space="preserve">Verify vendor compliance with data handling requirements</w:t>
      </w:r>
    </w:p>
    <w:p>
      <w:pPr>
        <w:pStyle w:val="ListParagraph"/>
        <w:numPr>
          <w:ilvl w:val="0"/>
          <w:numId w:val="1"/>
        </w:numPr>
        <w:spacing w:after="40"/>
      </w:pPr>
      <w:r>
        <w:t xml:space="preserve">Manage vendor system access credentials and permissions</w:t>
      </w:r>
    </w:p>
    <w:p>
      <w:pPr>
        <w:pStyle w:val="Heading2"/>
        <w:spacing w:after="100" w:before="240"/>
      </w:pPr>
      <w:r>
        <w:t xml:space="preserve">Procedure</w:t>
      </w:r>
    </w:p>
    <w:p>
      <w:pPr>
        <w:pStyle w:val="Heading3"/>
        <w:spacing w:after="40" w:before="160"/>
      </w:pPr>
      <w:r>
        <w:t xml:space="preserve">Step 1: Identify the vendor need and define requirements</w:t>
      </w:r>
    </w:p>
    <w:p>
      <w:pPr>
        <w:spacing w:after="100"/>
      </w:pPr>
      <w:r>
        <w:t xml:space="preserve">When a practice group or department needs a new vendor, document the specific requirements: what service is needed, what data the vendor will access, expected volume, budget range, and any compliance requirements. Submit to the office manager.</w:t>
      </w:r>
    </w:p>
    <w:p>
      <w:pPr>
        <w:pStyle w:val="ListParagraph"/>
        <w:numPr>
          <w:ilvl w:val="1"/>
          <w:numId w:val="1"/>
        </w:numPr>
        <w:spacing w:after="40"/>
      </w:pPr>
      <w:r>
        <w:t xml:space="preserve">Define the service need in writing</w:t>
      </w:r>
    </w:p>
    <w:p>
      <w:pPr>
        <w:pStyle w:val="ListParagraph"/>
        <w:numPr>
          <w:ilvl w:val="1"/>
          <w:numId w:val="1"/>
        </w:numPr>
        <w:spacing w:after="40"/>
      </w:pPr>
      <w:r>
        <w:t xml:space="preserve">Specify whether the vendor will access client data or firm systems</w:t>
      </w:r>
    </w:p>
    <w:p>
      <w:pPr>
        <w:pStyle w:val="ListParagraph"/>
        <w:numPr>
          <w:ilvl w:val="1"/>
          <w:numId w:val="1"/>
        </w:numPr>
        <w:spacing w:after="40"/>
      </w:pPr>
      <w:r>
        <w:t xml:space="preserve">Set the budget range and expected contract term</w:t>
      </w:r>
    </w:p>
    <w:p>
      <w:pPr>
        <w:pStyle w:val="ListParagraph"/>
        <w:numPr>
          <w:ilvl w:val="1"/>
          <w:numId w:val="1"/>
        </w:numPr>
        <w:spacing w:after="40"/>
      </w:pPr>
      <w:r>
        <w:t xml:space="preserve">Note any compliance requirements (SOC 2, data residency, insurance)</w:t>
      </w:r>
    </w:p>
    <w:p>
      <w:pPr>
        <w:pStyle w:val="Heading3"/>
        <w:spacing w:after="40" w:before="160"/>
      </w:pPr>
      <w:r>
        <w:t xml:space="preserve">Step 2: Source and evaluate candidates</w:t>
      </w:r>
    </w:p>
    <w:p>
      <w:pPr>
        <w:spacing w:after="100"/>
      </w:pPr>
      <w:r>
        <w:t xml:space="preserve">The office manager identifies 3 vendor candidates through referrals, bar association vendor directories, or industry research. Request proposals from each. Evaluate using the firm's vendor scorecard covering: service quality, pricing, references, security practices, and confidentiality posture.</w:t>
      </w:r>
    </w:p>
    <w:p>
      <w:pPr>
        <w:pStyle w:val="ListParagraph"/>
        <w:numPr>
          <w:ilvl w:val="1"/>
          <w:numId w:val="1"/>
        </w:numPr>
        <w:spacing w:after="40"/>
      </w:pPr>
      <w:r>
        <w:t xml:space="preserve">Request proposals from at least 3 vendors</w:t>
      </w:r>
    </w:p>
    <w:p>
      <w:pPr>
        <w:pStyle w:val="ListParagraph"/>
        <w:numPr>
          <w:ilvl w:val="1"/>
          <w:numId w:val="1"/>
        </w:numPr>
        <w:spacing w:after="40"/>
      </w:pPr>
      <w:r>
        <w:t xml:space="preserve">Check references — call 2 law firm clients for each vendor</w:t>
      </w:r>
    </w:p>
    <w:p>
      <w:pPr>
        <w:pStyle w:val="ListParagraph"/>
        <w:numPr>
          <w:ilvl w:val="1"/>
          <w:numId w:val="1"/>
        </w:numPr>
        <w:spacing w:after="40"/>
      </w:pPr>
      <w:r>
        <w:t xml:space="preserve">Score each vendor on the evaluation scorecard</w:t>
      </w:r>
    </w:p>
    <w:p>
      <w:pPr>
        <w:pStyle w:val="ListParagraph"/>
        <w:numPr>
          <w:ilvl w:val="1"/>
          <w:numId w:val="1"/>
        </w:numPr>
        <w:spacing w:after="40"/>
      </w:pPr>
      <w:r>
        <w:t xml:space="preserve">For vendors accessing client data, require evidence of security practices</w:t>
      </w:r>
    </w:p>
    <w:p>
      <w:pPr>
        <w:spacing w:after="100"/>
      </w:pPr>
      <w:r>
        <w:rPr>
          <w:i/>
          <w:iCs/>
          <w:color w:val="1F7A4D"/>
        </w:rPr>
        <w:t xml:space="preserve">Tip: Ask reference firms specifically about the vendor's data handling and confidentiality — generic business references don't address the concerns unique to law firms.</w:t>
      </w:r>
    </w:p>
    <w:p>
      <w:pPr>
        <w:pStyle w:val="Heading3"/>
        <w:spacing w:after="40" w:before="160"/>
      </w:pPr>
      <w:r>
        <w:t xml:space="preserve">Step 3: Execute the confidentiality agreement</w:t>
      </w:r>
    </w:p>
    <w:p>
      <w:pPr>
        <w:spacing w:after="100"/>
      </w:pPr>
      <w:r>
        <w:t xml:space="preserve">Before sharing any firm or client information, require the vendor to sign the firm's confidentiality agreement. For vendors accessing client data or firm systems, this is non-negotiable. The agreement should cover data handling, breach notification, return/destruction of data upon termination, and indemnification.</w:t>
      </w:r>
    </w:p>
    <w:p>
      <w:pPr>
        <w:spacing w:after="100"/>
      </w:pPr>
      <w:r>
        <w:rPr>
          <w:i/>
          <w:iCs/>
          <w:color w:val="B45309"/>
        </w:rPr>
        <w:t xml:space="preserve">Warning: Never give a vendor access to any client data — even for a 'demo' or 'trial' — without a signed confidentiality agreement. A data breach through an unsecured vendor exposes the firm to malpractice claims and bar complaints.</w:t>
      </w:r>
    </w:p>
    <w:p>
      <w:pPr>
        <w:pStyle w:val="Heading3"/>
        <w:spacing w:after="40" w:before="160"/>
      </w:pPr>
      <w:r>
        <w:t xml:space="preserve">Step 4: Negotiate and execute the contract</w:t>
      </w:r>
    </w:p>
    <w:p>
      <w:pPr>
        <w:spacing w:after="100"/>
      </w:pPr>
      <w:r>
        <w:t xml:space="preserve">Negotiate the vendor contract covering: scope of services, pricing, payment terms, termination provisions, data ownership, and liability caps. Contracts above the firm's spending threshold require managing partner approval. Store the executed contract in NetDocuments.</w:t>
      </w:r>
    </w:p>
    <w:p>
      <w:pPr>
        <w:pStyle w:val="ListParagraph"/>
        <w:numPr>
          <w:ilvl w:val="1"/>
          <w:numId w:val="1"/>
        </w:numPr>
        <w:spacing w:after="40"/>
      </w:pPr>
      <w:r>
        <w:t xml:space="preserve">Review vendor contract against firm standard terms</w:t>
      </w:r>
    </w:p>
    <w:p>
      <w:pPr>
        <w:pStyle w:val="ListParagraph"/>
        <w:numPr>
          <w:ilvl w:val="1"/>
          <w:numId w:val="1"/>
        </w:numPr>
        <w:spacing w:after="40"/>
      </w:pPr>
      <w:r>
        <w:t xml:space="preserve">Negotiate data ownership and portability provisions</w:t>
      </w:r>
    </w:p>
    <w:p>
      <w:pPr>
        <w:pStyle w:val="ListParagraph"/>
        <w:numPr>
          <w:ilvl w:val="1"/>
          <w:numId w:val="1"/>
        </w:numPr>
        <w:spacing w:after="40"/>
      </w:pPr>
      <w:r>
        <w:t xml:space="preserve">Include termination provisions with data return requirements</w:t>
      </w:r>
    </w:p>
    <w:p>
      <w:pPr>
        <w:pStyle w:val="ListParagraph"/>
        <w:numPr>
          <w:ilvl w:val="1"/>
          <w:numId w:val="1"/>
        </w:numPr>
        <w:spacing w:after="40"/>
      </w:pPr>
      <w:r>
        <w:t xml:space="preserve">Route for managing partner approval if above spending threshold</w:t>
      </w:r>
    </w:p>
    <w:p>
      <w:pPr>
        <w:pStyle w:val="ListParagraph"/>
        <w:numPr>
          <w:ilvl w:val="1"/>
          <w:numId w:val="1"/>
        </w:numPr>
        <w:spacing w:after="40"/>
      </w:pPr>
      <w:r>
        <w:t xml:space="preserve">Execute and store in NetDocuments vendor folder</w:t>
      </w:r>
    </w:p>
    <w:p>
      <w:pPr>
        <w:pStyle w:val="Heading3"/>
        <w:spacing w:after="40" w:before="160"/>
      </w:pPr>
      <w:r>
        <w:t xml:space="preserve">Step 5: Onboard the vendor</w:t>
      </w:r>
    </w:p>
    <w:p>
      <w:pPr>
        <w:spacing w:after="100"/>
      </w:pPr>
      <w:r>
        <w:t xml:space="preserve">Set up the vendor in the firm's AP system with correct payment terms. For vendors needing system access, IT creates credentials with minimum required permissions. Add the vendor to the approved vendor list with contract terms, renewal date, and primary contact.</w:t>
      </w:r>
    </w:p>
    <w:p>
      <w:pPr>
        <w:pStyle w:val="ListParagraph"/>
        <w:numPr>
          <w:ilvl w:val="1"/>
          <w:numId w:val="1"/>
        </w:numPr>
        <w:spacing w:after="40"/>
      </w:pPr>
      <w:r>
        <w:t xml:space="preserve">Add vendor to AP system with correct payment terms</w:t>
      </w:r>
    </w:p>
    <w:p>
      <w:pPr>
        <w:pStyle w:val="ListParagraph"/>
        <w:numPr>
          <w:ilvl w:val="1"/>
          <w:numId w:val="1"/>
        </w:numPr>
        <w:spacing w:after="40"/>
      </w:pPr>
      <w:r>
        <w:t xml:space="preserve">IT provisions system access if required (minimum permissions)</w:t>
      </w:r>
    </w:p>
    <w:p>
      <w:pPr>
        <w:pStyle w:val="ListParagraph"/>
        <w:numPr>
          <w:ilvl w:val="1"/>
          <w:numId w:val="1"/>
        </w:numPr>
        <w:spacing w:after="40"/>
      </w:pPr>
      <w:r>
        <w:t xml:space="preserve">Update the approved vendor list</w:t>
      </w:r>
    </w:p>
    <w:p>
      <w:pPr>
        <w:pStyle w:val="ListParagraph"/>
        <w:numPr>
          <w:ilvl w:val="1"/>
          <w:numId w:val="1"/>
        </w:numPr>
        <w:spacing w:after="40"/>
      </w:pPr>
      <w:r>
        <w:t xml:space="preserve">Set a calendar reminder for contract renewal 60 days before expiration</w:t>
      </w:r>
    </w:p>
    <w:p>
      <w:pPr>
        <w:pStyle w:val="Heading3"/>
        <w:spacing w:after="40" w:before="160"/>
      </w:pPr>
      <w:r>
        <w:t xml:space="preserve">Step 6: Monitor performance and conduct annual reviews</w:t>
      </w:r>
    </w:p>
    <w:p>
      <w:pPr>
        <w:spacing w:after="100"/>
      </w:pPr>
      <w:r>
        <w:t xml:space="preserve">Track vendor performance throughout the year: service quality, responsiveness, invoice accuracy, and any incidents. Annually, the office manager conducts a formal review using the vendor scorecard. Share results with the managing partner and decide whether to renew, renegotiate, or terminate.</w:t>
      </w:r>
    </w:p>
    <w:p>
      <w:pPr>
        <w:pStyle w:val="ListParagraph"/>
        <w:numPr>
          <w:ilvl w:val="1"/>
          <w:numId w:val="1"/>
        </w:numPr>
        <w:spacing w:after="40"/>
      </w:pPr>
      <w:r>
        <w:t xml:space="preserve">Log any service issues or incidents throughout the year</w:t>
      </w:r>
    </w:p>
    <w:p>
      <w:pPr>
        <w:pStyle w:val="ListParagraph"/>
        <w:numPr>
          <w:ilvl w:val="1"/>
          <w:numId w:val="1"/>
        </w:numPr>
        <w:spacing w:after="40"/>
      </w:pPr>
      <w:r>
        <w:t xml:space="preserve">Conduct annual scorecard evaluation</w:t>
      </w:r>
    </w:p>
    <w:p>
      <w:pPr>
        <w:pStyle w:val="ListParagraph"/>
        <w:numPr>
          <w:ilvl w:val="1"/>
          <w:numId w:val="1"/>
        </w:numPr>
        <w:spacing w:after="40"/>
      </w:pPr>
      <w:r>
        <w:t xml:space="preserve">Compare pricing against market alternatives</w:t>
      </w:r>
    </w:p>
    <w:p>
      <w:pPr>
        <w:pStyle w:val="ListParagraph"/>
        <w:numPr>
          <w:ilvl w:val="1"/>
          <w:numId w:val="1"/>
        </w:numPr>
        <w:spacing w:after="40"/>
      </w:pPr>
      <w:r>
        <w:t xml:space="preserve">Recommend renewal, renegotiation, or termination</w:t>
      </w:r>
    </w:p>
    <w:p>
      <w:pPr>
        <w:pStyle w:val="Heading2"/>
        <w:spacing w:after="100" w:before="240"/>
      </w:pPr>
      <w:r>
        <w:t xml:space="preserve">Completion Checklist</w:t>
      </w:r>
    </w:p>
    <w:p>
      <w:pPr>
        <w:spacing w:after="40"/>
      </w:pPr>
      <w:r>
        <w:t xml:space="preserve">☐  Vendor need and requirements documented</w:t>
      </w:r>
    </w:p>
    <w:p>
      <w:pPr>
        <w:spacing w:after="40"/>
      </w:pPr>
      <w:r>
        <w:t xml:space="preserve">☐  At least 3 vendor candidates evaluated</w:t>
      </w:r>
    </w:p>
    <w:p>
      <w:pPr>
        <w:spacing w:after="40"/>
      </w:pPr>
      <w:r>
        <w:t xml:space="preserve">☐  References checked with other law firm clients</w:t>
      </w:r>
    </w:p>
    <w:p>
      <w:pPr>
        <w:spacing w:after="40"/>
      </w:pPr>
      <w:r>
        <w:t xml:space="preserve">☐  Vendor scorecard completed for each candidate</w:t>
      </w:r>
    </w:p>
    <w:p>
      <w:pPr>
        <w:spacing w:after="40"/>
      </w:pPr>
      <w:r>
        <w:t xml:space="preserve">☐  Confidentiality agreement signed before any data sharing</w:t>
      </w:r>
    </w:p>
    <w:p>
      <w:pPr>
        <w:spacing w:after="40"/>
      </w:pPr>
      <w:r>
        <w:t xml:space="preserve">☐  Contract negotiated with data ownership and termination provisions</w:t>
      </w:r>
    </w:p>
    <w:p>
      <w:pPr>
        <w:spacing w:after="40"/>
      </w:pPr>
      <w:r>
        <w:t xml:space="preserve">☐  Managing partner approval obtained (if above spending threshold)</w:t>
      </w:r>
    </w:p>
    <w:p>
      <w:pPr>
        <w:spacing w:after="40"/>
      </w:pPr>
      <w:r>
        <w:t xml:space="preserve">☐  Vendor added to AP system and approved vendor list</w:t>
      </w:r>
    </w:p>
    <w:p>
      <w:pPr>
        <w:spacing w:after="40"/>
      </w:pPr>
      <w:r>
        <w:t xml:space="preserve">☐  System access provisioned with minimum permissions (if applicable)</w:t>
      </w:r>
    </w:p>
    <w:p>
      <w:pPr>
        <w:spacing w:after="40"/>
      </w:pPr>
      <w:r>
        <w:t xml:space="preserve">☐  Contract renewal reminder set for 60 days before expiration</w:t>
      </w:r>
    </w:p>
    <w:p>
      <w:pPr>
        <w:spacing w:after="40"/>
      </w:pPr>
      <w:r>
        <w:t xml:space="preserve">☐  Annual performance review scheduled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 onboarding time</w:t>
            </w:r>
          </w:p>
        </w:tc>
        <w:tc>
          <w:tcPr>
            <w:tcMar>
              <w:top w:type="dxa" w:w="60"/>
              <w:left w:type="dxa" w:w="120"/>
              <w:bottom w:type="dxa" w:w="60"/>
              <w:right w:type="dxa" w:w="120"/>
            </w:tcMar>
          </w:tcPr>
          <w:p>
            <w:r>
              <w:rPr>
                <w:b w:val="false"/>
                <w:bCs w:val="false"/>
              </w:rPr>
              <w:t xml:space="preserve">Under 10 business days from selection to active</w:t>
            </w:r>
          </w:p>
        </w:tc>
      </w:tr>
      <w:tr>
        <w:trPr>
          <w:tblHeader w:val="false"/>
        </w:trPr>
        <w:tc>
          <w:tcPr>
            <w:tcMar>
              <w:top w:type="dxa" w:w="60"/>
              <w:left w:type="dxa" w:w="120"/>
              <w:bottom w:type="dxa" w:w="60"/>
              <w:right w:type="dxa" w:w="120"/>
            </w:tcMar>
          </w:tcPr>
          <w:p>
            <w:r>
              <w:rPr>
                <w:b w:val="false"/>
                <w:bCs w:val="false"/>
              </w:rPr>
              <w:t xml:space="preserve">Confidentiality agreement compliance</w:t>
            </w:r>
          </w:p>
        </w:tc>
        <w:tc>
          <w:tcPr>
            <w:tcMar>
              <w:top w:type="dxa" w:w="60"/>
              <w:left w:type="dxa" w:w="120"/>
              <w:bottom w:type="dxa" w:w="60"/>
              <w:right w:type="dxa" w:w="120"/>
            </w:tcMar>
          </w:tcPr>
          <w:p>
            <w:r>
              <w:rPr>
                <w:b w:val="false"/>
                <w:bCs w:val="false"/>
              </w:rPr>
              <w:t xml:space="preserve">100% of vendors with data access have signed agreements</w:t>
            </w:r>
          </w:p>
        </w:tc>
      </w:tr>
      <w:tr>
        <w:trPr>
          <w:tblHeader w:val="false"/>
        </w:trPr>
        <w:tc>
          <w:tcPr>
            <w:tcMar>
              <w:top w:type="dxa" w:w="60"/>
              <w:left w:type="dxa" w:w="120"/>
              <w:bottom w:type="dxa" w:w="60"/>
              <w:right w:type="dxa" w:w="120"/>
            </w:tcMar>
          </w:tcPr>
          <w:p>
            <w:r>
              <w:rPr>
                <w:b w:val="false"/>
                <w:bCs w:val="false"/>
              </w:rPr>
              <w:t xml:space="preserve">Annual vendor review completion</w:t>
            </w:r>
          </w:p>
        </w:tc>
        <w:tc>
          <w:tcPr>
            <w:tcMar>
              <w:top w:type="dxa" w:w="60"/>
              <w:left w:type="dxa" w:w="120"/>
              <w:bottom w:type="dxa" w:w="60"/>
              <w:right w:type="dxa" w:w="120"/>
            </w:tcMar>
          </w:tcPr>
          <w:p>
            <w:r>
              <w:rPr>
                <w:b w:val="false"/>
                <w:bCs w:val="false"/>
              </w:rPr>
              <w:t xml:space="preserve">100% of active vendors reviewed annually</w:t>
            </w:r>
          </w:p>
        </w:tc>
      </w:tr>
      <w:tr>
        <w:trPr>
          <w:tblHeader w:val="false"/>
        </w:trPr>
        <w:tc>
          <w:tcPr>
            <w:tcMar>
              <w:top w:type="dxa" w:w="60"/>
              <w:left w:type="dxa" w:w="120"/>
              <w:bottom w:type="dxa" w:w="60"/>
              <w:right w:type="dxa" w:w="120"/>
            </w:tcMar>
          </w:tcPr>
          <w:p>
            <w:r>
              <w:rPr>
                <w:b w:val="false"/>
                <w:bCs w:val="false"/>
              </w:rPr>
              <w:t xml:space="preserve">Vendor-related data incidents</w:t>
            </w:r>
          </w:p>
        </w:tc>
        <w:tc>
          <w:tcPr>
            <w:tcMar>
              <w:top w:type="dxa" w:w="60"/>
              <w:left w:type="dxa" w:w="120"/>
              <w:bottom w:type="dxa" w:w="60"/>
              <w:right w:type="dxa" w:w="120"/>
            </w:tcMar>
          </w:tcPr>
          <w:p>
            <w:r>
              <w:rPr>
                <w:b w:val="false"/>
                <w:bCs w:val="false"/>
              </w:rPr>
              <w:t xml:space="preserve">Zero per year</w:t>
            </w:r>
          </w:p>
        </w:tc>
      </w:tr>
    </w:tbl>
    <w:p>
      <w:pPr>
        <w:pStyle w:val="Heading2"/>
        <w:spacing w:after="100" w:before="240"/>
      </w:pPr>
      <w:r>
        <w:t xml:space="preserve">Revision Schedule</w:t>
      </w:r>
    </w:p>
    <w:p>
      <w:pPr>
        <w:spacing w:after="100"/>
      </w:pPr>
      <w:r>
        <w:t xml:space="preserve">Annually, or after any vendor-related data incident or significant change in firm vendor needs.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Vendor Management Standard Operating Procedure Template</dc:title>
  <dc:creator>Glyde</dc:creator>
  <dc:description>Free vendor management SOP for law firms. Covers vendor evaluation, confidentiality agreements, and contract management.</dc:description>
  <cp:lastModifiedBy>Un-named</cp:lastModifiedBy>
  <cp:revision>1</cp:revision>
  <dcterms:created xsi:type="dcterms:W3CDTF">2026-07-22T08:34:36.462Z</dcterms:created>
  <dcterms:modified xsi:type="dcterms:W3CDTF">2026-07-22T08:34:36.462Z</dcterms:modified>
</cp:coreProperties>
</file>

<file path=docProps/custom.xml><?xml version="1.0" encoding="utf-8"?>
<Properties xmlns="http://schemas.openxmlformats.org/officeDocument/2006/custom-properties" xmlns:vt="http://schemas.openxmlformats.org/officeDocument/2006/docPropsVTypes"/>
</file>