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Vendor Management SOP Template for Logistics Teams</w:t>
      </w:r>
    </w:p>
    <w:p>
      <w:pPr>
        <w:spacing w:after="200"/>
      </w:pPr>
      <w:r>
        <w:rPr>
          <w:i/>
          <w:iCs/>
          <w:color w:val="6B7280"/>
        </w:rPr>
        <w:t xml:space="preserve">Free vendor management SOP template for logistics operations. Covers carrier selection, 3PL vendor evaluation, contract management, performance scorecards, and vendor compliance monitoring.</w:t>
      </w:r>
    </w:p>
    <w:p>
      <w:pPr>
        <w:pStyle w:val="Heading2"/>
        <w:spacing w:after="100" w:before="240"/>
      </w:pPr>
      <w:r>
        <w:t xml:space="preserve">Purpose</w:t>
      </w:r>
    </w:p>
    <w:p>
      <w:pPr>
        <w:spacing w:after="100"/>
      </w:pPr>
      <w:r>
        <w:t xml:space="preserve">Define how the operations team identifies, evaluates, onboards, monitors, and manages vendors that support logistics and distribution operations. This SOP covers carrier selection, equipment and supplies vendors, temporary staffing agencies, and technology service providers. A disciplined vendor management process ensures service quality, cost control, and compliance across the supply chain.</w:t>
      </w:r>
    </w:p>
    <w:p>
      <w:pPr>
        <w:pStyle w:val="Heading2"/>
        <w:spacing w:after="100" w:before="240"/>
      </w:pPr>
      <w:r>
        <w:t xml:space="preserve">Scope</w:t>
      </w:r>
    </w:p>
    <w:p>
      <w:pPr>
        <w:spacing w:after="100"/>
      </w:pPr>
      <w:r>
        <w:t xml:space="preserve">Covers vendor identification and qualification, RFP and bid evaluation, contract negotiation and execution, vendor onboarding, ongoing performance monitoring via scorecards, and vendor termination or replacement. Applies to all vendor categories: transportation carriers (LTL, TL, parcel, last-mile), warehouse equipment suppliers, packaging material vendors, temporary staffing agencies, and technology providers. Does not cover client management for 3PL operations (separate client management SOP).</w:t>
      </w:r>
    </w:p>
    <w:p>
      <w:pPr>
        <w:pStyle w:val="Heading2"/>
        <w:spacing w:after="100" w:before="240"/>
      </w:pPr>
      <w:r>
        <w:t xml:space="preserve">Prerequisites</w:t>
      </w:r>
    </w:p>
    <w:p>
      <w:pPr>
        <w:pStyle w:val="ListParagraph"/>
        <w:numPr>
          <w:ilvl w:val="0"/>
          <w:numId w:val="1"/>
        </w:numPr>
        <w:spacing w:after="40"/>
      </w:pPr>
      <w:r>
        <w:t xml:space="preserve">Vendor qualification checklist established with minimum requirements by vendor category</w:t>
      </w:r>
    </w:p>
    <w:p>
      <w:pPr>
        <w:pStyle w:val="ListParagraph"/>
        <w:numPr>
          <w:ilvl w:val="0"/>
          <w:numId w:val="1"/>
        </w:numPr>
        <w:spacing w:after="40"/>
      </w:pPr>
      <w:r>
        <w:t xml:space="preserve">Vendor master file maintained in the TMS or ERP system with current contact, insurance, and compliance data</w:t>
      </w:r>
    </w:p>
    <w:p>
      <w:pPr>
        <w:pStyle w:val="ListParagraph"/>
        <w:numPr>
          <w:ilvl w:val="0"/>
          <w:numId w:val="1"/>
        </w:numPr>
        <w:spacing w:after="40"/>
      </w:pPr>
      <w:r>
        <w:t xml:space="preserve">Scorecard template defined with weighted KPIs for each vendor category</w:t>
      </w:r>
    </w:p>
    <w:p>
      <w:pPr>
        <w:pStyle w:val="ListParagraph"/>
        <w:numPr>
          <w:ilvl w:val="0"/>
          <w:numId w:val="1"/>
        </w:numPr>
        <w:spacing w:after="40"/>
      </w:pPr>
      <w:r>
        <w:t xml:space="preserve">Contract templates approved by legal for each vendor type</w:t>
      </w:r>
    </w:p>
    <w:p>
      <w:pPr>
        <w:pStyle w:val="ListParagraph"/>
        <w:numPr>
          <w:ilvl w:val="0"/>
          <w:numId w:val="1"/>
        </w:numPr>
        <w:spacing w:after="40"/>
      </w:pPr>
      <w:r>
        <w:t xml:space="preserve">Insurance requirements defined: minimum coverage amounts, additional insured endorsement, certificate of insurance format</w:t>
      </w:r>
    </w:p>
    <w:p>
      <w:pPr>
        <w:pStyle w:val="Heading2"/>
        <w:spacing w:after="100" w:before="240"/>
      </w:pPr>
      <w:r>
        <w:t xml:space="preserve">Roles &amp; Responsibilities</w:t>
      </w:r>
    </w:p>
    <w:p>
      <w:pPr>
        <w:spacing w:after="40" w:before="120"/>
      </w:pPr>
      <w:r>
        <w:rPr>
          <w:b/>
          <w:bCs/>
        </w:rPr>
        <w:t xml:space="preserve">Operations Director</w:t>
      </w:r>
    </w:p>
    <w:p>
      <w:pPr>
        <w:pStyle w:val="ListParagraph"/>
        <w:numPr>
          <w:ilvl w:val="0"/>
          <w:numId w:val="1"/>
        </w:numPr>
        <w:spacing w:after="40"/>
      </w:pPr>
      <w:r>
        <w:t xml:space="preserve">Approve new vendor additions and terminations</w:t>
      </w:r>
    </w:p>
    <w:p>
      <w:pPr>
        <w:pStyle w:val="ListParagraph"/>
        <w:numPr>
          <w:ilvl w:val="0"/>
          <w:numId w:val="1"/>
        </w:numPr>
        <w:spacing w:after="40"/>
      </w:pPr>
      <w:r>
        <w:t xml:space="preserve">Review quarterly vendor performance scorecards and make strategic sourcing decisions</w:t>
      </w:r>
    </w:p>
    <w:p>
      <w:pPr>
        <w:pStyle w:val="ListParagraph"/>
        <w:numPr>
          <w:ilvl w:val="0"/>
          <w:numId w:val="1"/>
        </w:numPr>
        <w:spacing w:after="40"/>
      </w:pPr>
      <w:r>
        <w:t xml:space="preserve">Approve contracts above the operations manager's signature authority</w:t>
      </w:r>
    </w:p>
    <w:p>
      <w:pPr>
        <w:spacing w:after="40" w:before="120"/>
      </w:pPr>
      <w:r>
        <w:rPr>
          <w:b/>
          <w:bCs/>
        </w:rPr>
        <w:t xml:space="preserve">Operations Manager</w:t>
      </w:r>
    </w:p>
    <w:p>
      <w:pPr>
        <w:pStyle w:val="ListParagraph"/>
        <w:numPr>
          <w:ilvl w:val="0"/>
          <w:numId w:val="1"/>
        </w:numPr>
        <w:spacing w:after="40"/>
      </w:pPr>
      <w:r>
        <w:t xml:space="preserve">Manage the vendor qualification and onboarding process</w:t>
      </w:r>
    </w:p>
    <w:p>
      <w:pPr>
        <w:pStyle w:val="ListParagraph"/>
        <w:numPr>
          <w:ilvl w:val="0"/>
          <w:numId w:val="1"/>
        </w:numPr>
        <w:spacing w:after="40"/>
      </w:pPr>
      <w:r>
        <w:t xml:space="preserve">Maintain vendor scorecards and conduct quarterly business reviews with key vendors</w:t>
      </w:r>
    </w:p>
    <w:p>
      <w:pPr>
        <w:pStyle w:val="ListParagraph"/>
        <w:numPr>
          <w:ilvl w:val="0"/>
          <w:numId w:val="1"/>
        </w:numPr>
        <w:spacing w:after="40"/>
      </w:pPr>
      <w:r>
        <w:t xml:space="preserve">Investigate and resolve vendor performance issues</w:t>
      </w:r>
    </w:p>
    <w:p>
      <w:pPr>
        <w:spacing w:after="40" w:before="120"/>
      </w:pPr>
      <w:r>
        <w:rPr>
          <w:b/>
          <w:bCs/>
        </w:rPr>
        <w:t xml:space="preserve">Dispatch Coordinator</w:t>
      </w:r>
    </w:p>
    <w:p>
      <w:pPr>
        <w:pStyle w:val="ListParagraph"/>
        <w:numPr>
          <w:ilvl w:val="0"/>
          <w:numId w:val="1"/>
        </w:numPr>
        <w:spacing w:after="40"/>
      </w:pPr>
      <w:r>
        <w:t xml:space="preserve">Execute daily carrier assignments based on approved routing guides and rate tables</w:t>
      </w:r>
    </w:p>
    <w:p>
      <w:pPr>
        <w:pStyle w:val="ListParagraph"/>
        <w:numPr>
          <w:ilvl w:val="0"/>
          <w:numId w:val="1"/>
        </w:numPr>
        <w:spacing w:after="40"/>
      </w:pPr>
      <w:r>
        <w:t xml:space="preserve">Report carrier service failures (late pickups, late deliveries, damage) to the operations manager</w:t>
      </w:r>
    </w:p>
    <w:p>
      <w:pPr>
        <w:spacing w:after="40" w:before="120"/>
      </w:pPr>
      <w:r>
        <w:rPr>
          <w:b/>
          <w:bCs/>
        </w:rPr>
        <w:t xml:space="preserve">Compliance Specialist</w:t>
      </w:r>
    </w:p>
    <w:p>
      <w:pPr>
        <w:pStyle w:val="ListParagraph"/>
        <w:numPr>
          <w:ilvl w:val="0"/>
          <w:numId w:val="1"/>
        </w:numPr>
        <w:spacing w:after="40"/>
      </w:pPr>
      <w:r>
        <w:t xml:space="preserve">Verify vendor insurance, licensing, and regulatory compliance before onboarding and at each renewal</w:t>
      </w:r>
    </w:p>
    <w:p>
      <w:pPr>
        <w:pStyle w:val="ListParagraph"/>
        <w:numPr>
          <w:ilvl w:val="0"/>
          <w:numId w:val="1"/>
        </w:numPr>
        <w:spacing w:after="40"/>
      </w:pPr>
      <w:r>
        <w:t xml:space="preserve">Monitor DOT safety ratings, FMCSA authority status, and C-TPAT certification for transportation carriers</w:t>
      </w:r>
    </w:p>
    <w:p>
      <w:pPr>
        <w:pStyle w:val="Heading2"/>
        <w:spacing w:after="100" w:before="240"/>
      </w:pPr>
      <w:r>
        <w:t xml:space="preserve">Procedure</w:t>
      </w:r>
    </w:p>
    <w:p>
      <w:pPr>
        <w:pStyle w:val="Heading3"/>
        <w:spacing w:after="40" w:before="160"/>
      </w:pPr>
      <w:r>
        <w:t xml:space="preserve">Step 1: Identify vendor needs and define requirements</w:t>
      </w:r>
    </w:p>
    <w:p>
      <w:pPr>
        <w:spacing w:after="100"/>
      </w:pPr>
      <w:r>
        <w:t xml:space="preserve">When a new vendor is needed — new lane coverage, additional capacity, a new service category — the operations manager documents the specific requirements: service type, volume, geography, service level, compliance requirements, and budget. Clear requirements prevent scope creep during the evaluation process.</w:t>
      </w:r>
    </w:p>
    <w:p>
      <w:pPr>
        <w:pStyle w:val="ListParagraph"/>
        <w:numPr>
          <w:ilvl w:val="1"/>
          <w:numId w:val="1"/>
        </w:numPr>
        <w:spacing w:after="40"/>
      </w:pPr>
      <w:r>
        <w:t xml:space="preserve">Define the service need: what problem does this vendor solve or what gap does it fill?</w:t>
      </w:r>
    </w:p>
    <w:p>
      <w:pPr>
        <w:pStyle w:val="ListParagraph"/>
        <w:numPr>
          <w:ilvl w:val="1"/>
          <w:numId w:val="1"/>
        </w:numPr>
        <w:spacing w:after="40"/>
      </w:pPr>
      <w:r>
        <w:t xml:space="preserve">Specify volume and frequency: number of shipments per week, tonnage, or service hours</w:t>
      </w:r>
    </w:p>
    <w:p>
      <w:pPr>
        <w:pStyle w:val="ListParagraph"/>
        <w:numPr>
          <w:ilvl w:val="1"/>
          <w:numId w:val="1"/>
        </w:numPr>
        <w:spacing w:after="40"/>
      </w:pPr>
      <w:r>
        <w:t xml:space="preserve">Define geography: origin/destination lanes, service region, or facility locations served</w:t>
      </w:r>
    </w:p>
    <w:p>
      <w:pPr>
        <w:pStyle w:val="ListParagraph"/>
        <w:numPr>
          <w:ilvl w:val="1"/>
          <w:numId w:val="1"/>
        </w:numPr>
        <w:spacing w:after="40"/>
      </w:pPr>
      <w:r>
        <w:t xml:space="preserve">List compliance requirements: DOT authority, insurance minimums, HAZMAT certification, C-TPAT, food safety</w:t>
      </w:r>
    </w:p>
    <w:p>
      <w:pPr>
        <w:pStyle w:val="ListParagraph"/>
        <w:numPr>
          <w:ilvl w:val="1"/>
          <w:numId w:val="1"/>
        </w:numPr>
        <w:spacing w:after="40"/>
      </w:pPr>
      <w:r>
        <w:t xml:space="preserve">Set the budget range and target rate structure (per mile, per shipment, per pallet, per hour)</w:t>
      </w:r>
    </w:p>
    <w:p>
      <w:pPr>
        <w:pStyle w:val="Heading3"/>
        <w:spacing w:after="40" w:before="160"/>
      </w:pPr>
      <w:r>
        <w:t xml:space="preserve">Step 2: Qualify and evaluate potential vendors</w:t>
      </w:r>
    </w:p>
    <w:p>
      <w:pPr>
        <w:spacing w:after="100"/>
      </w:pPr>
      <w:r>
        <w:t xml:space="preserve">Issue an RFP to qualified candidates or evaluate vendors that have approached your organization. For carriers, verify DOT authority, safety rating, insurance coverage, and FMCSA compliance before evaluating rates. A low-rate carrier with a conditional safety rating or lapsed insurance is not a bargain — it is a liability.</w:t>
      </w:r>
    </w:p>
    <w:p>
      <w:pPr>
        <w:pStyle w:val="ListParagraph"/>
        <w:numPr>
          <w:ilvl w:val="1"/>
          <w:numId w:val="1"/>
        </w:numPr>
        <w:spacing w:after="40"/>
      </w:pPr>
      <w:r>
        <w:t xml:space="preserve">For carriers: verify MC/DOT number, FMCSA authority status, safety rating (satisfactory required), and insurance on SAFER</w:t>
      </w:r>
    </w:p>
    <w:p>
      <w:pPr>
        <w:pStyle w:val="ListParagraph"/>
        <w:numPr>
          <w:ilvl w:val="1"/>
          <w:numId w:val="1"/>
        </w:numPr>
        <w:spacing w:after="40"/>
      </w:pPr>
      <w:r>
        <w:t xml:space="preserve">Request certificate of insurance: verify minimum coverage meets your requirements and your company is listed as additional insured</w:t>
      </w:r>
    </w:p>
    <w:p>
      <w:pPr>
        <w:pStyle w:val="ListParagraph"/>
        <w:numPr>
          <w:ilvl w:val="1"/>
          <w:numId w:val="1"/>
        </w:numPr>
        <w:spacing w:after="40"/>
      </w:pPr>
      <w:r>
        <w:t xml:space="preserve">For C-TPAT-required lanes: verify the carrier's C-TPAT tier status</w:t>
      </w:r>
    </w:p>
    <w:p>
      <w:pPr>
        <w:pStyle w:val="ListParagraph"/>
        <w:numPr>
          <w:ilvl w:val="1"/>
          <w:numId w:val="1"/>
        </w:numPr>
        <w:spacing w:after="40"/>
      </w:pPr>
      <w:r>
        <w:t xml:space="preserve">Evaluate rates against market benchmarks using DAT, Greenscreens, or historical lane data</w:t>
      </w:r>
    </w:p>
    <w:p>
      <w:pPr>
        <w:pStyle w:val="ListParagraph"/>
        <w:numPr>
          <w:ilvl w:val="1"/>
          <w:numId w:val="1"/>
        </w:numPr>
        <w:spacing w:after="40"/>
      </w:pPr>
      <w:r>
        <w:t xml:space="preserve">Check references from companies of similar size and shipment profile</w:t>
      </w:r>
    </w:p>
    <w:p>
      <w:pPr>
        <w:pStyle w:val="ListParagraph"/>
        <w:numPr>
          <w:ilvl w:val="1"/>
          <w:numId w:val="1"/>
        </w:numPr>
        <w:spacing w:after="40"/>
      </w:pPr>
      <w:r>
        <w:t xml:space="preserve">Score each vendor using the qualification checklist and rank by total value (not just rate)</w:t>
      </w:r>
    </w:p>
    <w:p>
      <w:pPr>
        <w:spacing w:after="100"/>
      </w:pPr>
      <w:r>
        <w:rPr>
          <w:i/>
          <w:iCs/>
          <w:color w:val="B45309"/>
        </w:rPr>
        <w:t xml:space="preserve">Warning: Never onboard a carrier without verifying their FMCSA authority is active and their safety rating is satisfactory. Shipping with an unfit or unauthorized carrier creates liability exposure and potential DOT penalties for your organization.</w:t>
      </w:r>
    </w:p>
    <w:p>
      <w:pPr>
        <w:pStyle w:val="Heading3"/>
        <w:spacing w:after="40" w:before="160"/>
      </w:pPr>
      <w:r>
        <w:t xml:space="preserve">Step 3: Negotiate and execute the contract</w:t>
      </w:r>
    </w:p>
    <w:p>
      <w:pPr>
        <w:spacing w:after="100"/>
      </w:pPr>
      <w:r>
        <w:t xml:space="preserve">Once a vendor is selected, negotiate the contract terms covering rate structure, service level commitments, insurance requirements, liability and claims procedures, payment terms, and termination clauses. Use the approved contract template for the vendor category. All contracts must be reviewed by legal before execution.</w:t>
      </w:r>
    </w:p>
    <w:p>
      <w:pPr>
        <w:pStyle w:val="ListParagraph"/>
        <w:numPr>
          <w:ilvl w:val="1"/>
          <w:numId w:val="1"/>
        </w:numPr>
        <w:spacing w:after="40"/>
      </w:pPr>
      <w:r>
        <w:t xml:space="preserve">Use the approved contract template for the vendor category</w:t>
      </w:r>
    </w:p>
    <w:p>
      <w:pPr>
        <w:pStyle w:val="ListParagraph"/>
        <w:numPr>
          <w:ilvl w:val="1"/>
          <w:numId w:val="1"/>
        </w:numPr>
        <w:spacing w:after="40"/>
      </w:pPr>
      <w:r>
        <w:t xml:space="preserve">Negotiate key terms: rates, fuel surcharge methodology, accessorial charges, and annual escalation caps</w:t>
      </w:r>
    </w:p>
    <w:p>
      <w:pPr>
        <w:pStyle w:val="ListParagraph"/>
        <w:numPr>
          <w:ilvl w:val="1"/>
          <w:numId w:val="1"/>
        </w:numPr>
        <w:spacing w:after="40"/>
      </w:pPr>
      <w:r>
        <w:t xml:space="preserve">Define service level commitments: on-time percentage, damage rate ceiling, claims resolution timeline</w:t>
      </w:r>
    </w:p>
    <w:p>
      <w:pPr>
        <w:pStyle w:val="ListParagraph"/>
        <w:numPr>
          <w:ilvl w:val="1"/>
          <w:numId w:val="1"/>
        </w:numPr>
        <w:spacing w:after="40"/>
      </w:pPr>
      <w:r>
        <w:t xml:space="preserve">Specify insurance requirements and certificate renewal schedule</w:t>
      </w:r>
    </w:p>
    <w:p>
      <w:pPr>
        <w:pStyle w:val="ListParagraph"/>
        <w:numPr>
          <w:ilvl w:val="1"/>
          <w:numId w:val="1"/>
        </w:numPr>
        <w:spacing w:after="40"/>
      </w:pPr>
      <w:r>
        <w:t xml:space="preserve">Include termination provisions: performance triggers, notice period, and transition obligations</w:t>
      </w:r>
    </w:p>
    <w:p>
      <w:pPr>
        <w:pStyle w:val="ListParagraph"/>
        <w:numPr>
          <w:ilvl w:val="1"/>
          <w:numId w:val="1"/>
        </w:numPr>
        <w:spacing w:after="40"/>
      </w:pPr>
      <w:r>
        <w:t xml:space="preserve">Route through legal review and obtain the appropriate signature authority</w:t>
      </w:r>
    </w:p>
    <w:p>
      <w:pPr>
        <w:pStyle w:val="Heading3"/>
        <w:spacing w:after="40" w:before="160"/>
      </w:pPr>
      <w:r>
        <w:t xml:space="preserve">Step 4: Onboard the new vendor</w:t>
      </w:r>
    </w:p>
    <w:p>
      <w:pPr>
        <w:spacing w:after="100"/>
      </w:pPr>
      <w:r>
        <w:t xml:space="preserve">Before the vendor handles its first shipment or provides its first service, complete the onboarding checklist. Enter the vendor in the TMS or ERP system, distribute rate tables and routing instructions to dispatch, configure EDI or API integrations, and conduct an orientation covering your facility procedures and expectations.</w:t>
      </w:r>
    </w:p>
    <w:p>
      <w:pPr>
        <w:pStyle w:val="ListParagraph"/>
        <w:numPr>
          <w:ilvl w:val="1"/>
          <w:numId w:val="1"/>
        </w:numPr>
        <w:spacing w:after="40"/>
      </w:pPr>
      <w:r>
        <w:t xml:space="preserve">Create the vendor record in the TMS/ERP: contact info, payment terms, rate tables, lane assignments</w:t>
      </w:r>
    </w:p>
    <w:p>
      <w:pPr>
        <w:pStyle w:val="ListParagraph"/>
        <w:numPr>
          <w:ilvl w:val="1"/>
          <w:numId w:val="1"/>
        </w:numPr>
        <w:spacing w:after="40"/>
      </w:pPr>
      <w:r>
        <w:t xml:space="preserve">Configure EDI connections (204 tender, 214 status, 210 invoice) or API integrations</w:t>
      </w:r>
    </w:p>
    <w:p>
      <w:pPr>
        <w:pStyle w:val="ListParagraph"/>
        <w:numPr>
          <w:ilvl w:val="1"/>
          <w:numId w:val="1"/>
        </w:numPr>
        <w:spacing w:after="40"/>
      </w:pPr>
      <w:r>
        <w:t xml:space="preserve">Distribute rate tables and service instructions to the dispatch team</w:t>
      </w:r>
    </w:p>
    <w:p>
      <w:pPr>
        <w:pStyle w:val="ListParagraph"/>
        <w:numPr>
          <w:ilvl w:val="1"/>
          <w:numId w:val="1"/>
        </w:numPr>
        <w:spacing w:after="40"/>
      </w:pPr>
      <w:r>
        <w:t xml:space="preserve">Send the vendor a facility guide: dock hours, check-in procedures, lumper policies, detention billing rules</w:t>
      </w:r>
    </w:p>
    <w:p>
      <w:pPr>
        <w:pStyle w:val="ListParagraph"/>
        <w:numPr>
          <w:ilvl w:val="1"/>
          <w:numId w:val="1"/>
        </w:numPr>
        <w:spacing w:after="40"/>
      </w:pPr>
      <w:r>
        <w:t xml:space="preserve">For carriers: provide the driver orientation packet covering your dock safety and loading requirements</w:t>
      </w:r>
    </w:p>
    <w:p>
      <w:pPr>
        <w:pStyle w:val="ListParagraph"/>
        <w:numPr>
          <w:ilvl w:val="1"/>
          <w:numId w:val="1"/>
        </w:numPr>
        <w:spacing w:after="40"/>
      </w:pPr>
      <w:r>
        <w:t xml:space="preserve">File the executed contract, certificate of insurance, and compliance documents in the vendor master</w:t>
      </w:r>
    </w:p>
    <w:p>
      <w:pPr>
        <w:pStyle w:val="Heading3"/>
        <w:spacing w:after="40" w:before="160"/>
      </w:pPr>
      <w:r>
        <w:t xml:space="preserve">Step 5: Monitor vendor performance with scorecards</w:t>
      </w:r>
    </w:p>
    <w:p>
      <w:pPr>
        <w:spacing w:after="100"/>
      </w:pPr>
      <w:r>
        <w:t xml:space="preserve">Track each vendor's performance monthly using the weighted scorecard. For carriers, standard KPIs include on-time pickup, on-time delivery, damage rate, tender acceptance rate, claims resolution time, and billing accuracy. Pull data from the TMS and claims system — do not rely on the carrier's self-reported data.</w:t>
      </w:r>
    </w:p>
    <w:p>
      <w:pPr>
        <w:pStyle w:val="ListParagraph"/>
        <w:numPr>
          <w:ilvl w:val="1"/>
          <w:numId w:val="1"/>
        </w:numPr>
        <w:spacing w:after="40"/>
      </w:pPr>
      <w:r>
        <w:t xml:space="preserve">Pull performance data from the TMS for each active carrier: on-time metrics, tender acceptance, tracking compliance</w:t>
      </w:r>
    </w:p>
    <w:p>
      <w:pPr>
        <w:pStyle w:val="ListParagraph"/>
        <w:numPr>
          <w:ilvl w:val="1"/>
          <w:numId w:val="1"/>
        </w:numPr>
        <w:spacing w:after="40"/>
      </w:pPr>
      <w:r>
        <w:t xml:space="preserve">Add damage and claims data from the claims management system</w:t>
      </w:r>
    </w:p>
    <w:p>
      <w:pPr>
        <w:pStyle w:val="ListParagraph"/>
        <w:numPr>
          <w:ilvl w:val="1"/>
          <w:numId w:val="1"/>
        </w:numPr>
        <w:spacing w:after="40"/>
      </w:pPr>
      <w:r>
        <w:t xml:space="preserve">Calculate each KPI score against the contractual target</w:t>
      </w:r>
    </w:p>
    <w:p>
      <w:pPr>
        <w:pStyle w:val="ListParagraph"/>
        <w:numPr>
          <w:ilvl w:val="1"/>
          <w:numId w:val="1"/>
        </w:numPr>
        <w:spacing w:after="40"/>
      </w:pPr>
      <w:r>
        <w:t xml:space="preserve">Generate the monthly scorecard and flag any vendor below the performance threshold</w:t>
      </w:r>
    </w:p>
    <w:p>
      <w:pPr>
        <w:pStyle w:val="ListParagraph"/>
        <w:numPr>
          <w:ilvl w:val="1"/>
          <w:numId w:val="1"/>
        </w:numPr>
        <w:spacing w:after="40"/>
      </w:pPr>
      <w:r>
        <w:t xml:space="preserve">Share scorecards with vendors at the quarterly business review</w:t>
      </w:r>
    </w:p>
    <w:p>
      <w:pPr>
        <w:pStyle w:val="Heading3"/>
        <w:spacing w:after="40" w:before="160"/>
      </w:pPr>
      <w:r>
        <w:t xml:space="preserve">Step 6: Conduct quarterly business reviews</w:t>
      </w:r>
    </w:p>
    <w:p>
      <w:pPr>
        <w:spacing w:after="100"/>
      </w:pPr>
      <w:r>
        <w:t xml:space="preserve">Meet with each key vendor quarterly to review performance, discuss issues, and align on upcoming needs. The QBR is a two-way conversation: share their scorecard data, hear their challenges, and plan for the next quarter's volume or service changes. QBRs strengthen the vendor relationship and prevent small issues from becoming big problems.</w:t>
      </w:r>
    </w:p>
    <w:p>
      <w:pPr>
        <w:pStyle w:val="ListParagraph"/>
        <w:numPr>
          <w:ilvl w:val="1"/>
          <w:numId w:val="1"/>
        </w:numPr>
        <w:spacing w:after="40"/>
      </w:pPr>
      <w:r>
        <w:t xml:space="preserve">Prepare the QBR agenda: scorecard review, open issues, upcoming volume changes, rate adjustments</w:t>
      </w:r>
    </w:p>
    <w:p>
      <w:pPr>
        <w:pStyle w:val="ListParagraph"/>
        <w:numPr>
          <w:ilvl w:val="1"/>
          <w:numId w:val="1"/>
        </w:numPr>
        <w:spacing w:after="40"/>
      </w:pPr>
      <w:r>
        <w:t xml:space="preserve">Present the vendor's quarterly performance data with trend analysis</w:t>
      </w:r>
    </w:p>
    <w:p>
      <w:pPr>
        <w:pStyle w:val="ListParagraph"/>
        <w:numPr>
          <w:ilvl w:val="1"/>
          <w:numId w:val="1"/>
        </w:numPr>
        <w:spacing w:after="40"/>
      </w:pPr>
      <w:r>
        <w:t xml:space="preserve">Discuss any open claims, service failures, or compliance issues</w:t>
      </w:r>
    </w:p>
    <w:p>
      <w:pPr>
        <w:pStyle w:val="ListParagraph"/>
        <w:numPr>
          <w:ilvl w:val="1"/>
          <w:numId w:val="1"/>
        </w:numPr>
        <w:spacing w:after="40"/>
      </w:pPr>
      <w:r>
        <w:t xml:space="preserve">Share the upcoming quarter's volume forecast and any lane or service changes</w:t>
      </w:r>
    </w:p>
    <w:p>
      <w:pPr>
        <w:pStyle w:val="ListParagraph"/>
        <w:numPr>
          <w:ilvl w:val="1"/>
          <w:numId w:val="1"/>
        </w:numPr>
        <w:spacing w:after="40"/>
      </w:pPr>
      <w:r>
        <w:t xml:space="preserve">Document action items with owners and deadlines from both sides</w:t>
      </w:r>
    </w:p>
    <w:p>
      <w:pPr>
        <w:pStyle w:val="Heading3"/>
        <w:spacing w:after="40" w:before="160"/>
      </w:pPr>
      <w:r>
        <w:t xml:space="preserve">Step 7: Manage vendor compliance and renewals</w:t>
      </w:r>
    </w:p>
    <w:p>
      <w:pPr>
        <w:spacing w:after="100"/>
      </w:pPr>
      <w:r>
        <w:t xml:space="preserve">Vendor compliance is not a one-time check — insurance expires, DOT authority can be revoked, and safety ratings change. The compliance specialist monitors vendor compliance status on a rolling basis and flags any vendor that falls out of compliance. No shipments may be tendered to a non-compliant carrier.</w:t>
      </w:r>
    </w:p>
    <w:p>
      <w:pPr>
        <w:pStyle w:val="ListParagraph"/>
        <w:numPr>
          <w:ilvl w:val="1"/>
          <w:numId w:val="1"/>
        </w:numPr>
        <w:spacing w:after="40"/>
      </w:pPr>
      <w:r>
        <w:t xml:space="preserve">Set calendar reminders for insurance certificate expirations — request updated certificates 30 days before expiration</w:t>
      </w:r>
    </w:p>
    <w:p>
      <w:pPr>
        <w:pStyle w:val="ListParagraph"/>
        <w:numPr>
          <w:ilvl w:val="1"/>
          <w:numId w:val="1"/>
        </w:numPr>
        <w:spacing w:after="40"/>
      </w:pPr>
      <w:r>
        <w:t xml:space="preserve">Monitor FMCSA authority and safety ratings quarterly using SAFER or a third-party monitoring service</w:t>
      </w:r>
    </w:p>
    <w:p>
      <w:pPr>
        <w:pStyle w:val="ListParagraph"/>
        <w:numPr>
          <w:ilvl w:val="1"/>
          <w:numId w:val="1"/>
        </w:numPr>
        <w:spacing w:after="40"/>
      </w:pPr>
      <w:r>
        <w:t xml:space="preserve">For C-TPAT carriers: verify certification remains active annually</w:t>
      </w:r>
    </w:p>
    <w:p>
      <w:pPr>
        <w:pStyle w:val="ListParagraph"/>
        <w:numPr>
          <w:ilvl w:val="1"/>
          <w:numId w:val="1"/>
        </w:numPr>
        <w:spacing w:after="40"/>
      </w:pPr>
      <w:r>
        <w:t xml:space="preserve">For contract renewals: start the review process 90 days before expiration to avoid gaps</w:t>
      </w:r>
    </w:p>
    <w:p>
      <w:pPr>
        <w:pStyle w:val="ListParagraph"/>
        <w:numPr>
          <w:ilvl w:val="1"/>
          <w:numId w:val="1"/>
        </w:numPr>
        <w:spacing w:after="40"/>
      </w:pPr>
      <w:r>
        <w:t xml:space="preserve">Suspend vendor access in the TMS immediately if compliance lapses — reactivate only after documentation is current</w:t>
      </w:r>
    </w:p>
    <w:p>
      <w:pPr>
        <w:pStyle w:val="Heading3"/>
        <w:spacing w:after="40" w:before="160"/>
      </w:pPr>
      <w:r>
        <w:t xml:space="preserve">Step 8: Terminate underperforming vendors</w:t>
      </w:r>
    </w:p>
    <w:p>
      <w:pPr>
        <w:spacing w:after="100"/>
      </w:pPr>
      <w:r>
        <w:t xml:space="preserve">When a vendor consistently fails to meet performance standards despite corrective action, initiate the termination process. Follow the contractual notice period, transition volume to alternative vendors, close out any open claims or invoices, and document the termination reason in the vendor master for future reference.</w:t>
      </w:r>
    </w:p>
    <w:p>
      <w:pPr>
        <w:pStyle w:val="ListParagraph"/>
        <w:numPr>
          <w:ilvl w:val="1"/>
          <w:numId w:val="1"/>
        </w:numPr>
        <w:spacing w:after="40"/>
      </w:pPr>
      <w:r>
        <w:t xml:space="preserve">Document the performance failures and corrective actions that were attempted</w:t>
      </w:r>
    </w:p>
    <w:p>
      <w:pPr>
        <w:pStyle w:val="ListParagraph"/>
        <w:numPr>
          <w:ilvl w:val="1"/>
          <w:numId w:val="1"/>
        </w:numPr>
        <w:spacing w:after="40"/>
      </w:pPr>
      <w:r>
        <w:t xml:space="preserve">Issue the termination notice per the contractual terms</w:t>
      </w:r>
    </w:p>
    <w:p>
      <w:pPr>
        <w:pStyle w:val="ListParagraph"/>
        <w:numPr>
          <w:ilvl w:val="1"/>
          <w:numId w:val="1"/>
        </w:numPr>
        <w:spacing w:after="40"/>
      </w:pPr>
      <w:r>
        <w:t xml:space="preserve">Develop a transition plan: identify alternative vendors and redistribute volume</w:t>
      </w:r>
    </w:p>
    <w:p>
      <w:pPr>
        <w:pStyle w:val="ListParagraph"/>
        <w:numPr>
          <w:ilvl w:val="1"/>
          <w:numId w:val="1"/>
        </w:numPr>
        <w:spacing w:after="40"/>
      </w:pPr>
      <w:r>
        <w:t xml:space="preserve">Close out open invoices, claims, and any outstanding financial obligations</w:t>
      </w:r>
    </w:p>
    <w:p>
      <w:pPr>
        <w:pStyle w:val="ListParagraph"/>
        <w:numPr>
          <w:ilvl w:val="1"/>
          <w:numId w:val="1"/>
        </w:numPr>
        <w:spacing w:after="40"/>
      </w:pPr>
      <w:r>
        <w:t xml:space="preserve">Deactivate the vendor in the TMS and archive the vendor record with termination documentation</w:t>
      </w:r>
    </w:p>
    <w:p>
      <w:pPr>
        <w:pStyle w:val="Heading2"/>
        <w:spacing w:after="100" w:before="240"/>
      </w:pPr>
      <w:r>
        <w:t xml:space="preserve">Completion Checklist</w:t>
      </w:r>
    </w:p>
    <w:p>
      <w:pPr>
        <w:spacing w:after="40"/>
      </w:pPr>
      <w:r>
        <w:t xml:space="preserve">☐  Vendor requirements documented before beginning the search</w:t>
      </w:r>
    </w:p>
    <w:p>
      <w:pPr>
        <w:spacing w:after="40"/>
      </w:pPr>
      <w:r>
        <w:t xml:space="preserve">☐  FMCSA authority, safety rating, and insurance verified for all carrier vendors</w:t>
      </w:r>
    </w:p>
    <w:p>
      <w:pPr>
        <w:spacing w:after="40"/>
      </w:pPr>
      <w:r>
        <w:t xml:space="preserve">☐  C-TPAT certification confirmed for vendors handling cross-border shipments</w:t>
      </w:r>
    </w:p>
    <w:p>
      <w:pPr>
        <w:spacing w:after="40"/>
      </w:pPr>
      <w:r>
        <w:t xml:space="preserve">☐  Contract reviewed by legal and executed with appropriate signature authority</w:t>
      </w:r>
    </w:p>
    <w:p>
      <w:pPr>
        <w:spacing w:after="40"/>
      </w:pPr>
      <w:r>
        <w:t xml:space="preserve">☐  Vendor onboarded in TMS/ERP with rate tables, EDI connections, and compliance documents</w:t>
      </w:r>
    </w:p>
    <w:p>
      <w:pPr>
        <w:spacing w:after="40"/>
      </w:pPr>
      <w:r>
        <w:t xml:space="preserve">☐  Monthly scorecards generated from TMS data for all active vendors</w:t>
      </w:r>
    </w:p>
    <w:p>
      <w:pPr>
        <w:spacing w:after="40"/>
      </w:pPr>
      <w:r>
        <w:t xml:space="preserve">☐  Quarterly business reviews conducted with key vendors</w:t>
      </w:r>
    </w:p>
    <w:p>
      <w:pPr>
        <w:spacing w:after="40"/>
      </w:pPr>
      <w:r>
        <w:t xml:space="preserve">☐  Insurance certificates tracked and renewed before expiration</w:t>
      </w:r>
    </w:p>
    <w:p>
      <w:pPr>
        <w:spacing w:after="40"/>
      </w:pPr>
      <w:r>
        <w:t xml:space="preserve">☐  FMCSA authority and safety ratings monitored quarterly</w:t>
      </w:r>
    </w:p>
    <w:p>
      <w:pPr>
        <w:spacing w:after="40"/>
      </w:pPr>
      <w:r>
        <w:t xml:space="preserve">☐  Non-compliant vendors suspended in TMS until documentation is current</w:t>
      </w:r>
    </w:p>
    <w:p>
      <w:pPr>
        <w:spacing w:after="40"/>
      </w:pPr>
      <w:r>
        <w:t xml:space="preserve">☐  Underperforming vendors placed on corrective action or terminated per contract terms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Carrier on-time delivery rate</w:t>
            </w:r>
          </w:p>
        </w:tc>
        <w:tc>
          <w:tcPr>
            <w:tcMar>
              <w:top w:type="dxa" w:w="60"/>
              <w:left w:type="dxa" w:w="120"/>
              <w:bottom w:type="dxa" w:w="60"/>
              <w:right w:type="dxa" w:w="120"/>
            </w:tcMar>
          </w:tcPr>
          <w:p>
            <w:r>
              <w:rPr>
                <w:b w:val="false"/>
                <w:bCs w:val="false"/>
              </w:rPr>
              <w:t xml:space="preserve">95% or higher per carrier</w:t>
            </w:r>
          </w:p>
        </w:tc>
      </w:tr>
      <w:tr>
        <w:trPr>
          <w:tblHeader w:val="false"/>
        </w:trPr>
        <w:tc>
          <w:tcPr>
            <w:tcMar>
              <w:top w:type="dxa" w:w="60"/>
              <w:left w:type="dxa" w:w="120"/>
              <w:bottom w:type="dxa" w:w="60"/>
              <w:right w:type="dxa" w:w="120"/>
            </w:tcMar>
          </w:tcPr>
          <w:p>
            <w:r>
              <w:rPr>
                <w:b w:val="false"/>
                <w:bCs w:val="false"/>
              </w:rPr>
              <w:t xml:space="preserve">Tender acceptance rate</w:t>
            </w:r>
          </w:p>
        </w:tc>
        <w:tc>
          <w:tcPr>
            <w:tcMar>
              <w:top w:type="dxa" w:w="60"/>
              <w:left w:type="dxa" w:w="120"/>
              <w:bottom w:type="dxa" w:w="60"/>
              <w:right w:type="dxa" w:w="120"/>
            </w:tcMar>
          </w:tcPr>
          <w:p>
            <w:r>
              <w:rPr>
                <w:b w:val="false"/>
                <w:bCs w:val="false"/>
              </w:rPr>
              <w:t xml:space="preserve">90% or higher for contracted carriers</w:t>
            </w:r>
          </w:p>
        </w:tc>
      </w:tr>
      <w:tr>
        <w:trPr>
          <w:tblHeader w:val="false"/>
        </w:trPr>
        <w:tc>
          <w:tcPr>
            <w:tcMar>
              <w:top w:type="dxa" w:w="60"/>
              <w:left w:type="dxa" w:w="120"/>
              <w:bottom w:type="dxa" w:w="60"/>
              <w:right w:type="dxa" w:w="120"/>
            </w:tcMar>
          </w:tcPr>
          <w:p>
            <w:r>
              <w:rPr>
                <w:b w:val="false"/>
                <w:bCs w:val="false"/>
              </w:rPr>
              <w:t xml:space="preserve">Vendor compliance rate</w:t>
            </w:r>
          </w:p>
        </w:tc>
        <w:tc>
          <w:tcPr>
            <w:tcMar>
              <w:top w:type="dxa" w:w="60"/>
              <w:left w:type="dxa" w:w="120"/>
              <w:bottom w:type="dxa" w:w="60"/>
              <w:right w:type="dxa" w:w="120"/>
            </w:tcMar>
          </w:tcPr>
          <w:p>
            <w:r>
              <w:rPr>
                <w:b w:val="false"/>
                <w:bCs w:val="false"/>
              </w:rPr>
              <w:t xml:space="preserve">100% of active vendors with current insurance and authority</w:t>
            </w:r>
          </w:p>
        </w:tc>
      </w:tr>
      <w:tr>
        <w:trPr>
          <w:tblHeader w:val="false"/>
        </w:trPr>
        <w:tc>
          <w:tcPr>
            <w:tcMar>
              <w:top w:type="dxa" w:w="60"/>
              <w:left w:type="dxa" w:w="120"/>
              <w:bottom w:type="dxa" w:w="60"/>
              <w:right w:type="dxa" w:w="120"/>
            </w:tcMar>
          </w:tcPr>
          <w:p>
            <w:r>
              <w:rPr>
                <w:b w:val="false"/>
                <w:bCs w:val="false"/>
              </w:rPr>
              <w:t xml:space="preserve">Claims resolution time</w:t>
            </w:r>
          </w:p>
        </w:tc>
        <w:tc>
          <w:tcPr>
            <w:tcMar>
              <w:top w:type="dxa" w:w="60"/>
              <w:left w:type="dxa" w:w="120"/>
              <w:bottom w:type="dxa" w:w="60"/>
              <w:right w:type="dxa" w:w="120"/>
            </w:tcMar>
          </w:tcPr>
          <w:p>
            <w:r>
              <w:rPr>
                <w:b w:val="false"/>
                <w:bCs w:val="false"/>
              </w:rPr>
              <w:t xml:space="preserve">90% of claims resolved within 60 days</w:t>
            </w:r>
          </w:p>
        </w:tc>
      </w:tr>
      <w:tr>
        <w:trPr>
          <w:tblHeader w:val="false"/>
        </w:trPr>
        <w:tc>
          <w:tcPr>
            <w:tcMar>
              <w:top w:type="dxa" w:w="60"/>
              <w:left w:type="dxa" w:w="120"/>
              <w:bottom w:type="dxa" w:w="60"/>
              <w:right w:type="dxa" w:w="120"/>
            </w:tcMar>
          </w:tcPr>
          <w:p>
            <w:r>
              <w:rPr>
                <w:b w:val="false"/>
                <w:bCs w:val="false"/>
              </w:rPr>
              <w:t xml:space="preserve">Vendor scorecard review completion</w:t>
            </w:r>
          </w:p>
        </w:tc>
        <w:tc>
          <w:tcPr>
            <w:tcMar>
              <w:top w:type="dxa" w:w="60"/>
              <w:left w:type="dxa" w:w="120"/>
              <w:bottom w:type="dxa" w:w="60"/>
              <w:right w:type="dxa" w:w="120"/>
            </w:tcMar>
          </w:tcPr>
          <w:p>
            <w:r>
              <w:rPr>
                <w:b w:val="false"/>
                <w:bCs w:val="false"/>
              </w:rPr>
              <w:t xml:space="preserve">100% of key vendors reviewed quarterly</w:t>
            </w:r>
          </w:p>
        </w:tc>
      </w:tr>
    </w:tbl>
    <w:p>
      <w:pPr>
        <w:pStyle w:val="Heading2"/>
        <w:spacing w:after="100" w:before="240"/>
      </w:pPr>
      <w:r>
        <w:t xml:space="preserve">Revision Schedule</w:t>
      </w:r>
    </w:p>
    <w:p>
      <w:pPr>
        <w:spacing w:after="100"/>
      </w:pPr>
      <w:r>
        <w:t xml:space="preserve">Every 6 months, or immediately after significant changes to carrier base, insurance requirements, or regulatory compliance standards.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Management SOP Template for Logistics Teams</dc:title>
  <dc:creator>Glyde</dc:creator>
  <dc:description>Free vendor management SOP template for logistics operations. Covers carrier selection, 3PL vendor evaluation, contract management, performance scorecards, and vendor compliance monitoring.</dc:description>
  <cp:lastModifiedBy>Un-named</cp:lastModifiedBy>
  <cp:revision>1</cp:revision>
  <dcterms:created xsi:type="dcterms:W3CDTF">2026-07-22T08:34:36.469Z</dcterms:created>
  <dcterms:modified xsi:type="dcterms:W3CDTF">2026-07-22T08:34:36.469Z</dcterms:modified>
</cp:coreProperties>
</file>

<file path=docProps/custom.xml><?xml version="1.0" encoding="utf-8"?>
<Properties xmlns="http://schemas.openxmlformats.org/officeDocument/2006/custom-properties" xmlns:vt="http://schemas.openxmlformats.org/officeDocument/2006/docPropsVTypes"/>
</file>