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Real Estate Vendor Management Standard Operating Procedure Template</w:t>
      </w:r>
    </w:p>
    <w:p>
      <w:pPr>
        <w:spacing w:after="200"/>
      </w:pPr>
      <w:r>
        <w:rPr>
          <w:i/>
          <w:iCs/>
          <w:color w:val="6B7280"/>
        </w:rPr>
        <w:t xml:space="preserve">Free vendor management SOP template designed for Real Estate Operations teams. Includes step-by-step procedures, checklist, roles, and KPIs.</w:t>
      </w:r>
    </w:p>
    <w:p>
      <w:pPr>
        <w:pStyle w:val="Heading2"/>
        <w:spacing w:after="100" w:before="240"/>
      </w:pPr>
      <w:r>
        <w:t xml:space="preserve">Purpose</w:t>
      </w:r>
    </w:p>
    <w:p>
      <w:pPr>
        <w:spacing w:after="100"/>
      </w:pPr>
      <w:r>
        <w:t xml:space="preserve">This SOP ensures a consistent, compliant, and efficient process for selecting, onboarding, and managing third-party vendors for all properties and brokerage operations. It aims to protect property value, maintain tenant satisfaction, and reduce operational risks.</w:t>
      </w:r>
    </w:p>
    <w:p>
      <w:pPr>
        <w:pStyle w:val="Heading2"/>
        <w:spacing w:after="100" w:before="240"/>
      </w:pPr>
      <w:r>
        <w:t xml:space="preserve">Scope</w:t>
      </w:r>
    </w:p>
    <w:p>
      <w:pPr>
        <w:spacing w:after="100"/>
      </w:pPr>
      <w:r>
        <w:t xml:space="preserve">This procedure covers the entire lifecycle of third-party vendors providing services to managed properties or brokerage activities, from initial evaluation through contract termination. It does not cover internal staff hiring processes.</w:t>
      </w:r>
    </w:p>
    <w:p>
      <w:pPr>
        <w:pStyle w:val="Heading2"/>
        <w:spacing w:after="100" w:before="240"/>
      </w:pPr>
      <w:r>
        <w:t xml:space="preserve">Prerequisites</w:t>
      </w:r>
    </w:p>
    <w:p>
      <w:pPr>
        <w:pStyle w:val="ListParagraph"/>
        <w:numPr>
          <w:ilvl w:val="0"/>
          <w:numId w:val="1"/>
        </w:numPr>
        <w:spacing w:after="40"/>
      </w:pPr>
      <w:r>
        <w:t xml:space="preserve">Access to vendor management module in AppFolio or Buildium</w:t>
      </w:r>
    </w:p>
    <w:p>
      <w:pPr>
        <w:pStyle w:val="ListParagraph"/>
        <w:numPr>
          <w:ilvl w:val="0"/>
          <w:numId w:val="1"/>
        </w:numPr>
        <w:spacing w:after="40"/>
      </w:pPr>
      <w:r>
        <w:t xml:space="preserve">Current list of preferred vendors (if applicable)</w:t>
      </w:r>
    </w:p>
    <w:p>
      <w:pPr>
        <w:pStyle w:val="ListParagraph"/>
        <w:numPr>
          <w:ilvl w:val="0"/>
          <w:numId w:val="1"/>
        </w:numPr>
        <w:spacing w:after="40"/>
      </w:pPr>
      <w:r>
        <w:t xml:space="preserve">Standard vendor agreement templates</w:t>
      </w:r>
    </w:p>
    <w:p>
      <w:pPr>
        <w:pStyle w:val="ListParagraph"/>
        <w:numPr>
          <w:ilvl w:val="0"/>
          <w:numId w:val="1"/>
        </w:numPr>
        <w:spacing w:after="40"/>
      </w:pPr>
      <w:r>
        <w:t xml:space="preserve">Proof of insurance requirements for all vendor types</w:t>
      </w:r>
    </w:p>
    <w:p>
      <w:pPr>
        <w:pStyle w:val="ListParagraph"/>
        <w:numPr>
          <w:ilvl w:val="0"/>
          <w:numId w:val="1"/>
        </w:numPr>
        <w:spacing w:after="40"/>
      </w:pPr>
      <w:r>
        <w:t xml:space="preserve">Access to Dotloop for contract review and signing</w:t>
      </w:r>
    </w:p>
    <w:p>
      <w:pPr>
        <w:pStyle w:val="ListParagraph"/>
        <w:numPr>
          <w:ilvl w:val="0"/>
          <w:numId w:val="1"/>
        </w:numPr>
        <w:spacing w:after="40"/>
      </w:pPr>
      <w:r>
        <w:t xml:space="preserve">State licensing board contact information for verification</w:t>
      </w:r>
    </w:p>
    <w:p>
      <w:pPr>
        <w:pStyle w:val="Heading2"/>
        <w:spacing w:after="100" w:before="240"/>
      </w:pPr>
      <w:r>
        <w:t xml:space="preserve">Roles &amp; Responsibilities</w:t>
      </w:r>
    </w:p>
    <w:p>
      <w:pPr>
        <w:spacing w:after="40" w:before="120"/>
      </w:pPr>
      <w:r>
        <w:rPr>
          <w:b/>
          <w:bCs/>
        </w:rPr>
        <w:t xml:space="preserve">Operations Manager</w:t>
      </w:r>
    </w:p>
    <w:p>
      <w:pPr>
        <w:pStyle w:val="ListParagraph"/>
        <w:numPr>
          <w:ilvl w:val="0"/>
          <w:numId w:val="1"/>
        </w:numPr>
        <w:spacing w:after="40"/>
      </w:pPr>
      <w:r>
        <w:t xml:space="preserve">Oversees overall vendor management process</w:t>
      </w:r>
    </w:p>
    <w:p>
      <w:pPr>
        <w:pStyle w:val="ListParagraph"/>
        <w:numPr>
          <w:ilvl w:val="0"/>
          <w:numId w:val="1"/>
        </w:numPr>
        <w:spacing w:after="40"/>
      </w:pPr>
      <w:r>
        <w:t xml:space="preserve">Approves new vendor relationships</w:t>
      </w:r>
    </w:p>
    <w:p>
      <w:pPr>
        <w:pStyle w:val="ListParagraph"/>
        <w:numPr>
          <w:ilvl w:val="0"/>
          <w:numId w:val="1"/>
        </w:numPr>
        <w:spacing w:after="40"/>
      </w:pPr>
      <w:r>
        <w:t xml:space="preserve">Conducts periodic vendor performance reviews</w:t>
      </w:r>
    </w:p>
    <w:p>
      <w:pPr>
        <w:spacing w:after="40" w:before="120"/>
      </w:pPr>
      <w:r>
        <w:rPr>
          <w:b/>
          <w:bCs/>
        </w:rPr>
        <w:t xml:space="preserve">Property Manager</w:t>
      </w:r>
    </w:p>
    <w:p>
      <w:pPr>
        <w:pStyle w:val="ListParagraph"/>
        <w:numPr>
          <w:ilvl w:val="0"/>
          <w:numId w:val="1"/>
        </w:numPr>
        <w:spacing w:after="40"/>
      </w:pPr>
      <w:r>
        <w:t xml:space="preserve">Identifies service needs for properties</w:t>
      </w:r>
    </w:p>
    <w:p>
      <w:pPr>
        <w:pStyle w:val="ListParagraph"/>
        <w:numPr>
          <w:ilvl w:val="0"/>
          <w:numId w:val="1"/>
        </w:numPr>
        <w:spacing w:after="40"/>
      </w:pPr>
      <w:r>
        <w:t xml:space="preserve">Requests vendor services</w:t>
      </w:r>
    </w:p>
    <w:p>
      <w:pPr>
        <w:pStyle w:val="ListParagraph"/>
        <w:numPr>
          <w:ilvl w:val="0"/>
          <w:numId w:val="1"/>
        </w:numPr>
        <w:spacing w:after="40"/>
      </w:pPr>
      <w:r>
        <w:t xml:space="preserve">Provides feedback on vendor performance</w:t>
      </w:r>
    </w:p>
    <w:p>
      <w:pPr>
        <w:pStyle w:val="ListParagraph"/>
        <w:numPr>
          <w:ilvl w:val="0"/>
          <w:numId w:val="1"/>
        </w:numPr>
        <w:spacing w:after="40"/>
      </w:pPr>
      <w:r>
        <w:t xml:space="preserve">Communicates with tenants regarding vendor visits</w:t>
      </w:r>
    </w:p>
    <w:p>
      <w:pPr>
        <w:spacing w:after="40" w:before="120"/>
      </w:pPr>
      <w:r>
        <w:rPr>
          <w:b/>
          <w:bCs/>
        </w:rPr>
        <w:t xml:space="preserve">Transaction Coordinator</w:t>
      </w:r>
    </w:p>
    <w:p>
      <w:pPr>
        <w:pStyle w:val="ListParagraph"/>
        <w:numPr>
          <w:ilvl w:val="0"/>
          <w:numId w:val="1"/>
        </w:numPr>
        <w:spacing w:after="40"/>
      </w:pPr>
      <w:r>
        <w:t xml:space="preserve">Assists with vendor contract documentation in Dotloop</w:t>
      </w:r>
    </w:p>
    <w:p>
      <w:pPr>
        <w:pStyle w:val="ListParagraph"/>
        <w:numPr>
          <w:ilvl w:val="0"/>
          <w:numId w:val="1"/>
        </w:numPr>
        <w:spacing w:after="40"/>
      </w:pPr>
      <w:r>
        <w:t xml:space="preserve">Ensures vendor compliance documentation is current</w:t>
      </w:r>
    </w:p>
    <w:p>
      <w:pPr>
        <w:pStyle w:val="ListParagraph"/>
        <w:numPr>
          <w:ilvl w:val="0"/>
          <w:numId w:val="1"/>
        </w:numPr>
        <w:spacing w:after="40"/>
      </w:pPr>
      <w:r>
        <w:t xml:space="preserve">Manages vendor invoicing and payment processing</w:t>
      </w:r>
    </w:p>
    <w:p>
      <w:pPr>
        <w:pStyle w:val="Heading2"/>
        <w:spacing w:after="100" w:before="240"/>
      </w:pPr>
      <w:r>
        <w:t xml:space="preserve">Procedure</w:t>
      </w:r>
    </w:p>
    <w:p>
      <w:pPr>
        <w:pStyle w:val="Heading3"/>
        <w:spacing w:after="40" w:before="160"/>
      </w:pPr>
      <w:r>
        <w:t xml:space="preserve">Step 1: Identify Vendor Need and Initial Sourcing</w:t>
      </w:r>
    </w:p>
    <w:p>
      <w:pPr>
        <w:spacing w:after="100"/>
      </w:pPr>
      <w:r>
        <w:t xml:space="preserve">When a service need arises (e.g., HVAC repair for a rental, staging for a listing), the Property Manager or Operations Manager determines the vendor type. Search Zillow for local service providers with strong reviews, consult existing broker networks, or review the current preferred vendor list in AppFolio.</w:t>
      </w:r>
    </w:p>
    <w:p>
      <w:pPr>
        <w:spacing w:after="100"/>
      </w:pPr>
      <w:r>
        <w:rPr>
          <w:i/>
          <w:iCs/>
          <w:color w:val="1F7A4D"/>
        </w:rPr>
        <w:t xml:space="preserve">Tip: Prioritize vendors with specific experience in residential or commercial real estate services, depending on the property type.</w:t>
      </w:r>
    </w:p>
    <w:p>
      <w:pPr>
        <w:pStyle w:val="Heading3"/>
        <w:spacing w:after="40" w:before="160"/>
      </w:pPr>
      <w:r>
        <w:t xml:space="preserve">Step 2: Vendor Evaluation and Qualification</w:t>
      </w:r>
    </w:p>
    <w:p>
      <w:pPr>
        <w:spacing w:after="100"/>
      </w:pPr>
      <w:r>
        <w:t xml:space="preserve">Collect vendor proposals, pricing, and references. Verify their business legitimacy, insurance coverage (e.g., general liability, workers' compensation), and state licensing requirements for their trade (e.g., electrician, plumber). Document all findings in the vendor's profile within AppFolio or Buildium.</w:t>
      </w:r>
    </w:p>
    <w:p>
      <w:pPr>
        <w:spacing w:after="100"/>
      </w:pPr>
      <w:r>
        <w:rPr>
          <w:i/>
          <w:iCs/>
          <w:color w:val="B45309"/>
        </w:rPr>
        <w:t xml:space="preserve">Warning: Never engage a vendor without verifying current state licensing and adequate insurance. Unlicensed contractors pose significant liability risks to the brokerage and property owners.</w:t>
      </w:r>
    </w:p>
    <w:p>
      <w:pPr>
        <w:pStyle w:val="Heading3"/>
        <w:spacing w:after="40" w:before="160"/>
      </w:pPr>
      <w:r>
        <w:t xml:space="preserve">Step 3: Contract Review and Negotiation</w:t>
      </w:r>
    </w:p>
    <w:p>
      <w:pPr>
        <w:spacing w:after="100"/>
      </w:pPr>
      <w:r>
        <w:t xml:space="preserve">Review the proposed vendor contract against our standard real estate service agreement template. Ensure it includes clear scopes of work, payment terms, property access protocols, liability clauses, and terms for non-disclosure if handling sensitive property information. Upload the draft to Dotloop for internal review and electronic signature.</w:t>
      </w:r>
    </w:p>
    <w:p>
      <w:pPr>
        <w:pStyle w:val="ListParagraph"/>
        <w:numPr>
          <w:ilvl w:val="1"/>
          <w:numId w:val="1"/>
        </w:numPr>
        <w:spacing w:after="40"/>
      </w:pPr>
      <w:r>
        <w:t xml:space="preserve">Confirm the contract specifies adherence to Fair Housing Act guidelines when interacting with tenants or prospective buyers.</w:t>
      </w:r>
    </w:p>
    <w:p>
      <w:pPr>
        <w:pStyle w:val="ListParagraph"/>
        <w:numPr>
          <w:ilvl w:val="1"/>
          <w:numId w:val="1"/>
        </w:numPr>
        <w:spacing w:after="40"/>
      </w:pPr>
      <w:r>
        <w:t xml:space="preserve">Ensure termination clauses are clear and protect the brokerage's interests.</w:t>
      </w:r>
    </w:p>
    <w:p>
      <w:pPr>
        <w:spacing w:after="100"/>
      </w:pPr>
      <w:r>
        <w:rPr>
          <w:i/>
          <w:iCs/>
          <w:color w:val="1F7A4D"/>
        </w:rPr>
        <w:t xml:space="preserve">Tip: Aim for contract review and approval within 3 business days to keep projects moving.</w:t>
      </w:r>
    </w:p>
    <w:p>
      <w:pPr>
        <w:pStyle w:val="Heading3"/>
        <w:spacing w:after="40" w:before="160"/>
      </w:pPr>
      <w:r>
        <w:t xml:space="preserve">Step 4: Vendor Onboarding</w:t>
      </w:r>
    </w:p>
    <w:p>
      <w:pPr>
        <w:spacing w:after="100"/>
      </w:pPr>
      <w:r>
        <w:t xml:space="preserve">Once the contract is signed in Dotloop, formally onboard the vendor. Enter all vendor details (contact, services, W-9, insurance certificates, signed contract) into AppFolio or Buildium. Provide the vendor with our property access policies, tenant communication guidelines, and key return procedures.</w:t>
      </w:r>
    </w:p>
    <w:p>
      <w:pPr>
        <w:pStyle w:val="ListParagraph"/>
        <w:numPr>
          <w:ilvl w:val="1"/>
          <w:numId w:val="1"/>
        </w:numPr>
        <w:spacing w:after="40"/>
      </w:pPr>
      <w:r>
        <w:t xml:space="preserve">Assign a primary contact person within our team for the vendor.</w:t>
      </w:r>
    </w:p>
    <w:p>
      <w:pPr>
        <w:pStyle w:val="ListParagraph"/>
        <w:numPr>
          <w:ilvl w:val="1"/>
          <w:numId w:val="1"/>
        </w:numPr>
        <w:spacing w:after="40"/>
      </w:pPr>
      <w:r>
        <w:t xml:space="preserve">Provide an overview of our preferred invoicing process.</w:t>
      </w:r>
    </w:p>
    <w:p>
      <w:pPr>
        <w:pStyle w:val="Heading3"/>
        <w:spacing w:after="40" w:before="160"/>
      </w:pPr>
      <w:r>
        <w:t xml:space="preserve">Step 5: Performance Monitoring and Feedback</w:t>
      </w:r>
    </w:p>
    <w:p>
      <w:pPr>
        <w:spacing w:after="100"/>
      </w:pPr>
      <w:r>
        <w:t xml:space="preserve">Regularly collect feedback from Property Managers, Transaction Coordinators, and tenants regarding vendor service quality, timeliness, and professionalism. Document all feedback within the vendor's profile in AppFolio or Buildium. Address any issues promptly with the vendor.</w:t>
      </w:r>
    </w:p>
    <w:p>
      <w:pPr>
        <w:spacing w:after="100"/>
      </w:pPr>
      <w:r>
        <w:rPr>
          <w:i/>
          <w:iCs/>
          <w:color w:val="1F7A4D"/>
        </w:rPr>
        <w:t xml:space="preserve">Tip: For recurring services, schedule quarterly check-ins with the vendor's main contact to discuss performance and upcoming needs.</w:t>
      </w:r>
    </w:p>
    <w:p>
      <w:pPr>
        <w:pStyle w:val="Heading3"/>
        <w:spacing w:after="40" w:before="160"/>
      </w:pPr>
      <w:r>
        <w:t xml:space="preserve">Step 6: Contract Renewal or Termination</w:t>
      </w:r>
    </w:p>
    <w:p>
      <w:pPr>
        <w:spacing w:after="100"/>
      </w:pPr>
      <w:r>
        <w:t xml:space="preserve">Prior to contract expiration, the Operations Manager reviews the vendor's performance history in AppFolio. Based on performance and ongoing need, initiate renewal discussions or formally terminate the contract. If terminating, ensure all property access items (keys, codes) are returned and update the vendor's status to 'inactive' in Buildium.</w:t>
      </w:r>
    </w:p>
    <w:p>
      <w:pPr>
        <w:spacing w:after="100"/>
      </w:pPr>
      <w:r>
        <w:rPr>
          <w:i/>
          <w:iCs/>
          <w:color w:val="B45309"/>
        </w:rPr>
        <w:t xml:space="preserve">Warning: Always provide written notice for contract termination as per the agreement terms. Ensure all outstanding invoices are settled before final termination.</w:t>
      </w:r>
    </w:p>
    <w:p>
      <w:pPr>
        <w:pStyle w:val="Heading2"/>
        <w:spacing w:after="100" w:before="240"/>
      </w:pPr>
      <w:r>
        <w:t xml:space="preserve">Completion Checklist</w:t>
      </w:r>
    </w:p>
    <w:p>
      <w:pPr>
        <w:spacing w:after="40"/>
      </w:pPr>
      <w:r>
        <w:t xml:space="preserve">☐  Vendor need clearly defined?</w:t>
      </w:r>
    </w:p>
    <w:p>
      <w:pPr>
        <w:spacing w:after="40"/>
      </w:pPr>
      <w:r>
        <w:t xml:space="preserve">☐  Multiple vendor proposals obtained?</w:t>
      </w:r>
    </w:p>
    <w:p>
      <w:pPr>
        <w:spacing w:after="40"/>
      </w:pPr>
      <w:r>
        <w:t xml:space="preserve">☐  Business license and state certifications verified?</w:t>
      </w:r>
    </w:p>
    <w:p>
      <w:pPr>
        <w:spacing w:after="40"/>
      </w:pPr>
      <w:r>
        <w:t xml:space="preserve">☐  Proof of insurance (GL, WC) obtained and current?</w:t>
      </w:r>
    </w:p>
    <w:p>
      <w:pPr>
        <w:spacing w:after="40"/>
      </w:pPr>
      <w:r>
        <w:t xml:space="preserve">☐  References checked and documented?</w:t>
      </w:r>
    </w:p>
    <w:p>
      <w:pPr>
        <w:spacing w:after="40"/>
      </w:pPr>
      <w:r>
        <w:t xml:space="preserve">☐  Contract reviewed against template?</w:t>
      </w:r>
    </w:p>
    <w:p>
      <w:pPr>
        <w:spacing w:after="40"/>
      </w:pPr>
      <w:r>
        <w:t xml:space="preserve">☐  Fair Housing Act compliance clauses present?</w:t>
      </w:r>
    </w:p>
    <w:p>
      <w:pPr>
        <w:spacing w:after="40"/>
      </w:pPr>
      <w:r>
        <w:t xml:space="preserve">☐  Contract signed in Dotloop?</w:t>
      </w:r>
    </w:p>
    <w:p>
      <w:pPr>
        <w:spacing w:after="40"/>
      </w:pPr>
      <w:r>
        <w:t xml:space="preserve">☐  Vendor details entered in AppFolio/Buildium?</w:t>
      </w:r>
    </w:p>
    <w:p>
      <w:pPr>
        <w:spacing w:after="40"/>
      </w:pPr>
      <w:r>
        <w:t xml:space="preserve">☐  W-9 and insurance certificates uploaded?</w:t>
      </w:r>
    </w:p>
    <w:p>
      <w:pPr>
        <w:spacing w:after="40"/>
      </w:pPr>
      <w:r>
        <w:t xml:space="preserve">☐  Property access and tenant communication guidelines shared?</w:t>
      </w:r>
    </w:p>
    <w:p>
      <w:pPr>
        <w:spacing w:after="40"/>
      </w:pPr>
      <w:r>
        <w:t xml:space="preserve">☐  Performance feedback documented?</w:t>
      </w:r>
    </w:p>
    <w:p>
      <w:pPr>
        <w:spacing w:after="40"/>
      </w:pPr>
      <w:r>
        <w:t xml:space="preserve">☐  Contract renewal or termination decision made?</w:t>
      </w:r>
    </w:p>
    <w:p>
      <w:pPr>
        <w:spacing w:after="40"/>
      </w:pPr>
      <w:r>
        <w:t xml:space="preserve">☐  Vendor status updated in AppFolio/Buildium?</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Vendor onboarding time (from approval to active)</w:t>
            </w:r>
          </w:p>
        </w:tc>
        <w:tc>
          <w:tcPr>
            <w:tcMar>
              <w:top w:type="dxa" w:w="60"/>
              <w:left w:type="dxa" w:w="120"/>
              <w:bottom w:type="dxa" w:w="60"/>
              <w:right w:type="dxa" w:w="120"/>
            </w:tcMar>
          </w:tcPr>
          <w:p>
            <w:r>
              <w:rPr>
                <w:b w:val="false"/>
                <w:bCs w:val="false"/>
              </w:rPr>
              <w:t xml:space="preserve">Under 5 business days</w:t>
            </w:r>
          </w:p>
        </w:tc>
      </w:tr>
      <w:tr>
        <w:trPr>
          <w:tblHeader w:val="false"/>
        </w:trPr>
        <w:tc>
          <w:tcPr>
            <w:tcMar>
              <w:top w:type="dxa" w:w="60"/>
              <w:left w:type="dxa" w:w="120"/>
              <w:bottom w:type="dxa" w:w="60"/>
              <w:right w:type="dxa" w:w="120"/>
            </w:tcMar>
          </w:tcPr>
          <w:p>
            <w:r>
              <w:rPr>
                <w:b w:val="false"/>
                <w:bCs w:val="false"/>
              </w:rPr>
              <w:t xml:space="preserve">Percentage of vendors with current insurance &amp; licensing</w:t>
            </w:r>
          </w:p>
        </w:tc>
        <w:tc>
          <w:tcPr>
            <w:tcMar>
              <w:top w:type="dxa" w:w="60"/>
              <w:left w:type="dxa" w:w="120"/>
              <w:bottom w:type="dxa" w:w="60"/>
              <w:right w:type="dxa" w:w="120"/>
            </w:tcMar>
          </w:tcPr>
          <w:p>
            <w:r>
              <w:rPr>
                <w:b w:val="false"/>
                <w:bCs w:val="false"/>
              </w:rPr>
              <w:t xml:space="preserve">100%</w:t>
            </w:r>
          </w:p>
        </w:tc>
      </w:tr>
      <w:tr>
        <w:trPr>
          <w:tblHeader w:val="false"/>
        </w:trPr>
        <w:tc>
          <w:tcPr>
            <w:tcMar>
              <w:top w:type="dxa" w:w="60"/>
              <w:left w:type="dxa" w:w="120"/>
              <w:bottom w:type="dxa" w:w="60"/>
              <w:right w:type="dxa" w:w="120"/>
            </w:tcMar>
          </w:tcPr>
          <w:p>
            <w:r>
              <w:rPr>
                <w:b w:val="false"/>
                <w:bCs w:val="false"/>
              </w:rPr>
              <w:t xml:space="preserve">Average service request completion time for routine tasks</w:t>
            </w:r>
          </w:p>
        </w:tc>
        <w:tc>
          <w:tcPr>
            <w:tcMar>
              <w:top w:type="dxa" w:w="60"/>
              <w:left w:type="dxa" w:w="120"/>
              <w:bottom w:type="dxa" w:w="60"/>
              <w:right w:type="dxa" w:w="120"/>
            </w:tcMar>
          </w:tcPr>
          <w:p>
            <w:r>
              <w:rPr>
                <w:b w:val="false"/>
                <w:bCs w:val="false"/>
              </w:rPr>
              <w:t xml:space="preserve">Under 3 business days</w:t>
            </w:r>
          </w:p>
        </w:tc>
      </w:tr>
      <w:tr>
        <w:trPr>
          <w:tblHeader w:val="false"/>
        </w:trPr>
        <w:tc>
          <w:tcPr>
            <w:tcMar>
              <w:top w:type="dxa" w:w="60"/>
              <w:left w:type="dxa" w:w="120"/>
              <w:bottom w:type="dxa" w:w="60"/>
              <w:right w:type="dxa" w:w="120"/>
            </w:tcMar>
          </w:tcPr>
          <w:p>
            <w:r>
              <w:rPr>
                <w:b w:val="false"/>
                <w:bCs w:val="false"/>
              </w:rPr>
              <w:t xml:space="preserve">Tenant satisfaction score related to vendor services</w:t>
            </w:r>
          </w:p>
        </w:tc>
        <w:tc>
          <w:tcPr>
            <w:tcMar>
              <w:top w:type="dxa" w:w="60"/>
              <w:left w:type="dxa" w:w="120"/>
              <w:bottom w:type="dxa" w:w="60"/>
              <w:right w:type="dxa" w:w="120"/>
            </w:tcMar>
          </w:tcPr>
          <w:p>
            <w:r>
              <w:rPr>
                <w:b w:val="false"/>
                <w:bCs w:val="false"/>
              </w:rPr>
              <w:t xml:space="preserve">4.5 out of 5 stars</w:t>
            </w:r>
          </w:p>
        </w:tc>
      </w:tr>
      <w:tr>
        <w:trPr>
          <w:tblHeader w:val="false"/>
        </w:trPr>
        <w:tc>
          <w:tcPr>
            <w:tcMar>
              <w:top w:type="dxa" w:w="60"/>
              <w:left w:type="dxa" w:w="120"/>
              <w:bottom w:type="dxa" w:w="60"/>
              <w:right w:type="dxa" w:w="120"/>
            </w:tcMar>
          </w:tcPr>
          <w:p>
            <w:r>
              <w:rPr>
                <w:b w:val="false"/>
                <w:bCs w:val="false"/>
              </w:rPr>
              <w:t xml:space="preserve">Vendor contract compliance rate</w:t>
            </w:r>
          </w:p>
        </w:tc>
        <w:tc>
          <w:tcPr>
            <w:tcMar>
              <w:top w:type="dxa" w:w="60"/>
              <w:left w:type="dxa" w:w="120"/>
              <w:bottom w:type="dxa" w:w="60"/>
              <w:right w:type="dxa" w:w="120"/>
            </w:tcMar>
          </w:tcPr>
          <w:p>
            <w:r>
              <w:rPr>
                <w:b w:val="false"/>
                <w:bCs w:val="false"/>
              </w:rPr>
              <w:t xml:space="preserve">98%</w:t>
            </w:r>
          </w:p>
        </w:tc>
      </w:tr>
    </w:tbl>
    <w:p>
      <w:pPr>
        <w:pStyle w:val="Heading2"/>
        <w:spacing w:after="100" w:before="240"/>
      </w:pPr>
      <w:r>
        <w:t xml:space="preserve">Revision Schedule</w:t>
      </w:r>
    </w:p>
    <w:p>
      <w:pPr>
        <w:spacing w:after="100"/>
      </w:pPr>
      <w:r>
        <w:t xml:space="preserve">Review and update this SOP annually, or as new compliance regulations or software tools are adopted.</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Vendor Management Standard Operating Procedure Template</dc:title>
  <dc:creator>Glyde</dc:creator>
  <dc:description>Free vendor management SOP template designed for Real Estate Operations teams. Includes step-by-step procedures, checklist, roles, and KPIs.</dc:description>
  <cp:lastModifiedBy>Un-named</cp:lastModifiedBy>
  <cp:revision>1</cp:revision>
  <dcterms:created xsi:type="dcterms:W3CDTF">2026-07-22T08:34:36.491Z</dcterms:created>
  <dcterms:modified xsi:type="dcterms:W3CDTF">2026-07-22T08:34:36.491Z</dcterms:modified>
</cp:coreProperties>
</file>

<file path=docProps/custom.xml><?xml version="1.0" encoding="utf-8"?>
<Properties xmlns="http://schemas.openxmlformats.org/officeDocument/2006/custom-properties" xmlns:vt="http://schemas.openxmlformats.org/officeDocument/2006/docPropsVTypes"/>
</file>