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Retail Vendor Management Standard Operating Procedure Template</w:t>
      </w:r>
    </w:p>
    <w:p>
      <w:pPr>
        <w:spacing w:after="200"/>
      </w:pPr>
      <w:r>
        <w:rPr>
          <w:i/>
          <w:iCs/>
          <w:color w:val="6B7280"/>
        </w:rPr>
        <w:t xml:space="preserve">Free vendor management SOP template for retail stores. Covers vendor evaluation, contract negotiation, delivery performance tracking, and vendor scorecards.</w:t>
      </w:r>
    </w:p>
    <w:p>
      <w:pPr>
        <w:pStyle w:val="Heading2"/>
        <w:spacing w:after="100" w:before="240"/>
      </w:pPr>
      <w:r>
        <w:t xml:space="preserve">Purpose</w:t>
      </w:r>
    </w:p>
    <w:p>
      <w:pPr>
        <w:spacing w:after="100"/>
      </w:pPr>
      <w:r>
        <w:t xml:space="preserve">Manage every vendor relationship with a consistent evaluation, onboarding, and performance tracking process so the store gets reliable deliveries, competitive pricing, and quality merchandise without dependency on any single supplier. This SOP covers vendor evaluation criteria, contract setup, onboarding, ongoing performance monitoring, quarterly scorecards, and the process for replacing underperforming vendors. The goal is a vendor roster where every supplier meets your standards for delivery, quality, and price.</w:t>
      </w:r>
    </w:p>
    <w:p>
      <w:pPr>
        <w:pStyle w:val="Heading2"/>
        <w:spacing w:after="100" w:before="240"/>
      </w:pPr>
      <w:r>
        <w:t xml:space="preserve">Scope</w:t>
      </w:r>
    </w:p>
    <w:p>
      <w:pPr>
        <w:spacing w:after="100"/>
      </w:pPr>
      <w:r>
        <w:t xml:space="preserve">Covers management of all merchandise, supply, and service vendors for store operations. Includes product vendors (apparel, hard goods, accessories), supply vendors (bags, hangers, cleaning products, fixtures), and service vendors (cleaning, security, maintenance). Does not cover technology vendors (POS, e-commerce platform), landlord relationships, or corporate-negotiated contracts that are managed at the brand level.</w:t>
      </w:r>
    </w:p>
    <w:p>
      <w:pPr>
        <w:pStyle w:val="Heading2"/>
        <w:spacing w:after="100" w:before="240"/>
      </w:pPr>
      <w:r>
        <w:t xml:space="preserve">Prerequisites</w:t>
      </w:r>
    </w:p>
    <w:p>
      <w:pPr>
        <w:pStyle w:val="ListParagraph"/>
        <w:numPr>
          <w:ilvl w:val="0"/>
          <w:numId w:val="1"/>
        </w:numPr>
        <w:spacing w:after="40"/>
      </w:pPr>
      <w:r>
        <w:t xml:space="preserve">Vendor evaluation scorecard template with weighted criteria</w:t>
      </w:r>
    </w:p>
    <w:p>
      <w:pPr>
        <w:pStyle w:val="ListParagraph"/>
        <w:numPr>
          <w:ilvl w:val="0"/>
          <w:numId w:val="1"/>
        </w:numPr>
        <w:spacing w:after="40"/>
      </w:pPr>
      <w:r>
        <w:t xml:space="preserve">Standard vendor contract or terms-of-service template reviewed by legal</w:t>
      </w:r>
    </w:p>
    <w:p>
      <w:pPr>
        <w:pStyle w:val="ListParagraph"/>
        <w:numPr>
          <w:ilvl w:val="0"/>
          <w:numId w:val="1"/>
        </w:numPr>
        <w:spacing w:after="40"/>
      </w:pPr>
      <w:r>
        <w:t xml:space="preserve">Delivery and quality performance tracking system (spreadsheet or inventory system)</w:t>
      </w:r>
    </w:p>
    <w:p>
      <w:pPr>
        <w:pStyle w:val="ListParagraph"/>
        <w:numPr>
          <w:ilvl w:val="0"/>
          <w:numId w:val="1"/>
        </w:numPr>
        <w:spacing w:after="40"/>
      </w:pPr>
      <w:r>
        <w:t xml:space="preserve">Approved vendor list current and accessible to all ordering personnel</w:t>
      </w:r>
    </w:p>
    <w:p>
      <w:pPr>
        <w:pStyle w:val="ListParagraph"/>
        <w:numPr>
          <w:ilvl w:val="0"/>
          <w:numId w:val="1"/>
        </w:numPr>
        <w:spacing w:after="40"/>
      </w:pPr>
      <w:r>
        <w:t xml:space="preserve">Budget and margin targets established for each product category</w:t>
      </w:r>
    </w:p>
    <w:p>
      <w:pPr>
        <w:pStyle w:val="Heading2"/>
        <w:spacing w:after="100" w:before="240"/>
      </w:pPr>
      <w:r>
        <w:t xml:space="preserve">Roles &amp; Responsibilities</w:t>
      </w:r>
    </w:p>
    <w:p>
      <w:pPr>
        <w:spacing w:after="40" w:before="120"/>
      </w:pPr>
      <w:r>
        <w:rPr>
          <w:b/>
          <w:bCs/>
        </w:rPr>
        <w:t xml:space="preserve">Store Manager / Buyer</w:t>
      </w:r>
    </w:p>
    <w:p>
      <w:pPr>
        <w:pStyle w:val="ListParagraph"/>
        <w:numPr>
          <w:ilvl w:val="0"/>
          <w:numId w:val="1"/>
        </w:numPr>
        <w:spacing w:after="40"/>
      </w:pPr>
      <w:r>
        <w:t xml:space="preserve">Evaluate and approve new vendors based on the scorecard criteria</w:t>
      </w:r>
    </w:p>
    <w:p>
      <w:pPr>
        <w:pStyle w:val="ListParagraph"/>
        <w:numPr>
          <w:ilvl w:val="0"/>
          <w:numId w:val="1"/>
        </w:numPr>
        <w:spacing w:after="40"/>
      </w:pPr>
      <w:r>
        <w:t xml:space="preserve">Negotiate pricing, payment terms, and delivery schedules</w:t>
      </w:r>
    </w:p>
    <w:p>
      <w:pPr>
        <w:pStyle w:val="ListParagraph"/>
        <w:numPr>
          <w:ilvl w:val="0"/>
          <w:numId w:val="1"/>
        </w:numPr>
        <w:spacing w:after="40"/>
      </w:pPr>
      <w:r>
        <w:t xml:space="preserve">Review quarterly vendor scorecards and make retain/replace decisions</w:t>
      </w:r>
    </w:p>
    <w:p>
      <w:pPr>
        <w:spacing w:after="40" w:before="120"/>
      </w:pPr>
      <w:r>
        <w:rPr>
          <w:b/>
          <w:bCs/>
        </w:rPr>
        <w:t xml:space="preserve">Assistant Manager / Inventory Lead</w:t>
      </w:r>
    </w:p>
    <w:p>
      <w:pPr>
        <w:pStyle w:val="ListParagraph"/>
        <w:numPr>
          <w:ilvl w:val="0"/>
          <w:numId w:val="1"/>
        </w:numPr>
        <w:spacing w:after="40"/>
      </w:pPr>
      <w:r>
        <w:t xml:space="preserve">Track delivery accuracy, on-time performance, and merchandise quality for each vendor</w:t>
      </w:r>
    </w:p>
    <w:p>
      <w:pPr>
        <w:pStyle w:val="ListParagraph"/>
        <w:numPr>
          <w:ilvl w:val="0"/>
          <w:numId w:val="1"/>
        </w:numPr>
        <w:spacing w:after="40"/>
      </w:pPr>
      <w:r>
        <w:t xml:space="preserve">Flag recurring issues to the store manager with documentation</w:t>
      </w:r>
    </w:p>
    <w:p>
      <w:pPr>
        <w:pStyle w:val="ListParagraph"/>
        <w:numPr>
          <w:ilvl w:val="0"/>
          <w:numId w:val="1"/>
        </w:numPr>
        <w:spacing w:after="40"/>
      </w:pPr>
      <w:r>
        <w:t xml:space="preserve">Manage day-to-day vendor communication for orders and issue resolution</w:t>
      </w:r>
    </w:p>
    <w:p>
      <w:pPr>
        <w:spacing w:after="40" w:before="120"/>
      </w:pPr>
      <w:r>
        <w:rPr>
          <w:b/>
          <w:bCs/>
        </w:rPr>
        <w:t xml:space="preserve">District Manager / Purchasing Director</w:t>
      </w:r>
    </w:p>
    <w:p>
      <w:pPr>
        <w:pStyle w:val="ListParagraph"/>
        <w:numPr>
          <w:ilvl w:val="0"/>
          <w:numId w:val="1"/>
        </w:numPr>
        <w:spacing w:after="40"/>
      </w:pPr>
      <w:r>
        <w:t xml:space="preserve">Approve vendor contracts above a specified dollar threshold</w:t>
      </w:r>
    </w:p>
    <w:p>
      <w:pPr>
        <w:pStyle w:val="ListParagraph"/>
        <w:numPr>
          <w:ilvl w:val="0"/>
          <w:numId w:val="1"/>
        </w:numPr>
        <w:spacing w:after="40"/>
      </w:pPr>
      <w:r>
        <w:t xml:space="preserve">Share vendor performance data across stores in the district for collective negotiation</w:t>
      </w:r>
    </w:p>
    <w:p>
      <w:pPr>
        <w:pStyle w:val="Heading2"/>
        <w:spacing w:after="100" w:before="240"/>
      </w:pPr>
      <w:r>
        <w:t xml:space="preserve">Procedure</w:t>
      </w:r>
    </w:p>
    <w:p>
      <w:pPr>
        <w:pStyle w:val="Heading3"/>
        <w:spacing w:after="40" w:before="160"/>
      </w:pPr>
      <w:r>
        <w:t xml:space="preserve">Step 1: Identify the vendor need and define requirements</w:t>
      </w:r>
    </w:p>
    <w:p>
      <w:pPr>
        <w:spacing w:after="100"/>
      </w:pPr>
      <w:r>
        <w:t xml:space="preserve">Before approaching any vendor, define exactly what you need: product category, quality standard, quantity range, delivery frequency, price range, and any compliance requirements (e.g., fair trade, sustainability certifications). Write these requirements down — they become the evaluation criteria. Do not start conversations with vendors until the requirements are clear.</w:t>
      </w:r>
    </w:p>
    <w:p>
      <w:pPr>
        <w:pStyle w:val="ListParagraph"/>
        <w:numPr>
          <w:ilvl w:val="1"/>
          <w:numId w:val="1"/>
        </w:numPr>
        <w:spacing w:after="40"/>
      </w:pPr>
      <w:r>
        <w:t xml:space="preserve">Define the product or service category and specification</w:t>
      </w:r>
    </w:p>
    <w:p>
      <w:pPr>
        <w:pStyle w:val="ListParagraph"/>
        <w:numPr>
          <w:ilvl w:val="1"/>
          <w:numId w:val="1"/>
        </w:numPr>
        <w:spacing w:after="40"/>
      </w:pPr>
      <w:r>
        <w:t xml:space="preserve">Set the quality standard: material, finish, sizing accuracy, packaging</w:t>
      </w:r>
    </w:p>
    <w:p>
      <w:pPr>
        <w:pStyle w:val="ListParagraph"/>
        <w:numPr>
          <w:ilvl w:val="1"/>
          <w:numId w:val="1"/>
        </w:numPr>
        <w:spacing w:after="40"/>
      </w:pPr>
      <w:r>
        <w:t xml:space="preserve">Determine the required delivery frequency and lead time</w:t>
      </w:r>
    </w:p>
    <w:p>
      <w:pPr>
        <w:pStyle w:val="ListParagraph"/>
        <w:numPr>
          <w:ilvl w:val="1"/>
          <w:numId w:val="1"/>
        </w:numPr>
        <w:spacing w:after="40"/>
      </w:pPr>
      <w:r>
        <w:t xml:space="preserve">Establish the target price range based on margin goals</w:t>
      </w:r>
    </w:p>
    <w:p>
      <w:pPr>
        <w:pStyle w:val="ListParagraph"/>
        <w:numPr>
          <w:ilvl w:val="1"/>
          <w:numId w:val="1"/>
        </w:numPr>
        <w:spacing w:after="40"/>
      </w:pPr>
      <w:r>
        <w:t xml:space="preserve">Note any compliance or certification requirements</w:t>
      </w:r>
    </w:p>
    <w:p>
      <w:pPr>
        <w:pStyle w:val="Heading3"/>
        <w:spacing w:after="40" w:before="160"/>
      </w:pPr>
      <w:r>
        <w:t xml:space="preserve">Step 2: Source and evaluate potential vendors</w:t>
      </w:r>
    </w:p>
    <w:p>
      <w:pPr>
        <w:spacing w:after="100"/>
      </w:pPr>
      <w:r>
        <w:t xml:space="preserve">Identify 3-5 potential vendors for evaluation. Request samples, pricing sheets, and references from each. Evaluate each vendor against the scorecard: product quality, pricing competitiveness, delivery reliability, minimum order quantities, return/defect policy, and communication responsiveness. Score each vendor and rank them.</w:t>
      </w:r>
    </w:p>
    <w:p>
      <w:pPr>
        <w:pStyle w:val="ListParagraph"/>
        <w:numPr>
          <w:ilvl w:val="1"/>
          <w:numId w:val="1"/>
        </w:numPr>
        <w:spacing w:after="40"/>
      </w:pPr>
      <w:r>
        <w:t xml:space="preserve">Identify 3-5 potential vendors through trade shows, referrals, or industry directories</w:t>
      </w:r>
    </w:p>
    <w:p>
      <w:pPr>
        <w:pStyle w:val="ListParagraph"/>
        <w:numPr>
          <w:ilvl w:val="1"/>
          <w:numId w:val="1"/>
        </w:numPr>
        <w:spacing w:after="40"/>
      </w:pPr>
      <w:r>
        <w:t xml:space="preserve">Request product samples, a pricing sheet, and 2-3 references from each</w:t>
      </w:r>
    </w:p>
    <w:p>
      <w:pPr>
        <w:pStyle w:val="ListParagraph"/>
        <w:numPr>
          <w:ilvl w:val="1"/>
          <w:numId w:val="1"/>
        </w:numPr>
        <w:spacing w:after="40"/>
      </w:pPr>
      <w:r>
        <w:t xml:space="preserve">Evaluate samples against your quality standard</w:t>
      </w:r>
    </w:p>
    <w:p>
      <w:pPr>
        <w:pStyle w:val="ListParagraph"/>
        <w:numPr>
          <w:ilvl w:val="1"/>
          <w:numId w:val="1"/>
        </w:numPr>
        <w:spacing w:after="40"/>
      </w:pPr>
      <w:r>
        <w:t xml:space="preserve">Score each vendor on the evaluation scorecard (quality, price, delivery, MOQ, return policy)</w:t>
      </w:r>
    </w:p>
    <w:p>
      <w:pPr>
        <w:pStyle w:val="ListParagraph"/>
        <w:numPr>
          <w:ilvl w:val="1"/>
          <w:numId w:val="1"/>
        </w:numPr>
        <w:spacing w:after="40"/>
      </w:pPr>
      <w:r>
        <w:t xml:space="preserve">Contact references and ask about delivery reliability and issue resolution</w:t>
      </w:r>
    </w:p>
    <w:p>
      <w:pPr>
        <w:spacing w:after="100"/>
      </w:pPr>
      <w:r>
        <w:rPr>
          <w:i/>
          <w:iCs/>
          <w:color w:val="1F7A4D"/>
        </w:rPr>
        <w:t xml:space="preserve">Tip: Always evaluate at least 3 vendors, even if the first one looks perfect. Competition gives you negotiating power and a backup option if the primary vendor fails.</w:t>
      </w:r>
    </w:p>
    <w:p>
      <w:pPr>
        <w:pStyle w:val="Heading3"/>
        <w:spacing w:after="40" w:before="160"/>
      </w:pPr>
      <w:r>
        <w:t xml:space="preserve">Step 3: Negotiate terms and set up the contract</w:t>
      </w:r>
    </w:p>
    <w:p>
      <w:pPr>
        <w:spacing w:after="100"/>
      </w:pPr>
      <w:r>
        <w:t xml:space="preserve">With the top-scoring vendor, negotiate pricing, payment terms (net 30, net 60), delivery schedule, minimum order quantities, defect/return policy, and any exclusivity or volume discount agreements. Document everything in a written contract or purchase agreement. Do not rely on verbal agreements for pricing or return policies.</w:t>
      </w:r>
    </w:p>
    <w:p>
      <w:pPr>
        <w:pStyle w:val="ListParagraph"/>
        <w:numPr>
          <w:ilvl w:val="1"/>
          <w:numId w:val="1"/>
        </w:numPr>
        <w:spacing w:after="40"/>
      </w:pPr>
      <w:r>
        <w:t xml:space="preserve">Negotiate unit pricing and volume discount tiers</w:t>
      </w:r>
    </w:p>
    <w:p>
      <w:pPr>
        <w:pStyle w:val="ListParagraph"/>
        <w:numPr>
          <w:ilvl w:val="1"/>
          <w:numId w:val="1"/>
        </w:numPr>
        <w:spacing w:after="40"/>
      </w:pPr>
      <w:r>
        <w:t xml:space="preserve">Agree on payment terms (net 30 is standard for retail)</w:t>
      </w:r>
    </w:p>
    <w:p>
      <w:pPr>
        <w:pStyle w:val="ListParagraph"/>
        <w:numPr>
          <w:ilvl w:val="1"/>
          <w:numId w:val="1"/>
        </w:numPr>
        <w:spacing w:after="40"/>
      </w:pPr>
      <w:r>
        <w:t xml:space="preserve">Set the delivery schedule, lead times, and shipping cost responsibilities</w:t>
      </w:r>
    </w:p>
    <w:p>
      <w:pPr>
        <w:pStyle w:val="ListParagraph"/>
        <w:numPr>
          <w:ilvl w:val="1"/>
          <w:numId w:val="1"/>
        </w:numPr>
        <w:spacing w:after="40"/>
      </w:pPr>
      <w:r>
        <w:t xml:space="preserve">Define the defect and return policy: inspection window, credit terms, replacement timeline</w:t>
      </w:r>
    </w:p>
    <w:p>
      <w:pPr>
        <w:pStyle w:val="ListParagraph"/>
        <w:numPr>
          <w:ilvl w:val="1"/>
          <w:numId w:val="1"/>
        </w:numPr>
        <w:spacing w:after="40"/>
      </w:pPr>
      <w:r>
        <w:t xml:space="preserve">Sign the contract and file a copy in the vendor file and with the district manager</w:t>
      </w:r>
    </w:p>
    <w:p>
      <w:pPr>
        <w:pStyle w:val="Heading3"/>
        <w:spacing w:after="40" w:before="160"/>
      </w:pPr>
      <w:r>
        <w:t xml:space="preserve">Step 4: Onboard the new vendor</w:t>
      </w:r>
    </w:p>
    <w:p>
      <w:pPr>
        <w:spacing w:after="100"/>
      </w:pPr>
      <w:r>
        <w:t xml:space="preserve">Set the vendor up in your ordering and receiving systems. Share your delivery requirements: receiving hours, dock or entrance location, packing slip requirements, and who to contact for delivery issues. Place a trial order to test the full process — from order placement through delivery, inspection, and invoicing. Resolve any issues from the trial order before committing to regular ordering.</w:t>
      </w:r>
    </w:p>
    <w:p>
      <w:pPr>
        <w:pStyle w:val="ListParagraph"/>
        <w:numPr>
          <w:ilvl w:val="1"/>
          <w:numId w:val="1"/>
        </w:numPr>
        <w:spacing w:after="40"/>
      </w:pPr>
      <w:r>
        <w:t xml:space="preserve">Add the vendor to your ordering system with contact details and product catalog</w:t>
      </w:r>
    </w:p>
    <w:p>
      <w:pPr>
        <w:pStyle w:val="ListParagraph"/>
        <w:numPr>
          <w:ilvl w:val="1"/>
          <w:numId w:val="1"/>
        </w:numPr>
        <w:spacing w:after="40"/>
      </w:pPr>
      <w:r>
        <w:t xml:space="preserve">Send the vendor your delivery requirements: hours, location, packing slip format</w:t>
      </w:r>
    </w:p>
    <w:p>
      <w:pPr>
        <w:pStyle w:val="ListParagraph"/>
        <w:numPr>
          <w:ilvl w:val="1"/>
          <w:numId w:val="1"/>
        </w:numPr>
        <w:spacing w:after="40"/>
      </w:pPr>
      <w:r>
        <w:t xml:space="preserve">Place a trial order and track it through the full cycle</w:t>
      </w:r>
    </w:p>
    <w:p>
      <w:pPr>
        <w:pStyle w:val="ListParagraph"/>
        <w:numPr>
          <w:ilvl w:val="1"/>
          <w:numId w:val="1"/>
        </w:numPr>
        <w:spacing w:after="40"/>
      </w:pPr>
      <w:r>
        <w:t xml:space="preserve">Inspect the trial delivery for quality, accuracy, and timeliness</w:t>
      </w:r>
    </w:p>
    <w:p>
      <w:pPr>
        <w:pStyle w:val="ListParagraph"/>
        <w:numPr>
          <w:ilvl w:val="1"/>
          <w:numId w:val="1"/>
        </w:numPr>
        <w:spacing w:after="40"/>
      </w:pPr>
      <w:r>
        <w:t xml:space="preserve">Resolve any issues from the trial before scheduling regular orders</w:t>
      </w:r>
    </w:p>
    <w:p>
      <w:pPr>
        <w:pStyle w:val="Heading3"/>
        <w:spacing w:after="40" w:before="160"/>
      </w:pPr>
      <w:r>
        <w:t xml:space="preserve">Step 5: Track vendor performance monthly</w:t>
      </w:r>
    </w:p>
    <w:p>
      <w:pPr>
        <w:spacing w:after="100"/>
      </w:pPr>
      <w:r>
        <w:t xml:space="preserve">Every month, review each active vendor's performance: delivery on-time rate, order accuracy (correct items, correct quantities), merchandise defect rate, invoice accuracy, and responsiveness to issues. Log this data in the vendor performance tracker. Flag any vendor whose on-time rate drops below 90% or defect rate exceeds 3% for a performance conversation.</w:t>
      </w:r>
    </w:p>
    <w:p>
      <w:pPr>
        <w:pStyle w:val="ListParagraph"/>
        <w:numPr>
          <w:ilvl w:val="1"/>
          <w:numId w:val="1"/>
        </w:numPr>
        <w:spacing w:after="40"/>
      </w:pPr>
      <w:r>
        <w:t xml:space="preserve">Calculate the on-time delivery rate for each vendor</w:t>
      </w:r>
    </w:p>
    <w:p>
      <w:pPr>
        <w:pStyle w:val="ListParagraph"/>
        <w:numPr>
          <w:ilvl w:val="1"/>
          <w:numId w:val="1"/>
        </w:numPr>
        <w:spacing w:after="40"/>
      </w:pPr>
      <w:r>
        <w:t xml:space="preserve">Review order accuracy: correct products, sizes, colors, and quantities</w:t>
      </w:r>
    </w:p>
    <w:p>
      <w:pPr>
        <w:pStyle w:val="ListParagraph"/>
        <w:numPr>
          <w:ilvl w:val="1"/>
          <w:numId w:val="1"/>
        </w:numPr>
        <w:spacing w:after="40"/>
      </w:pPr>
      <w:r>
        <w:t xml:space="preserve">Track the defect rate from incoming merchandise inspections</w:t>
      </w:r>
    </w:p>
    <w:p>
      <w:pPr>
        <w:pStyle w:val="ListParagraph"/>
        <w:numPr>
          <w:ilvl w:val="1"/>
          <w:numId w:val="1"/>
        </w:numPr>
        <w:spacing w:after="40"/>
      </w:pPr>
      <w:r>
        <w:t xml:space="preserve">Check invoice accuracy: pricing matches the contract, credits applied correctly</w:t>
      </w:r>
    </w:p>
    <w:p>
      <w:pPr>
        <w:pStyle w:val="ListParagraph"/>
        <w:numPr>
          <w:ilvl w:val="1"/>
          <w:numId w:val="1"/>
        </w:numPr>
        <w:spacing w:after="40"/>
      </w:pPr>
      <w:r>
        <w:t xml:space="preserve">Log all metrics in the vendor performance tracker</w:t>
      </w:r>
    </w:p>
    <w:p>
      <w:pPr>
        <w:pStyle w:val="Heading3"/>
        <w:spacing w:after="40" w:before="160"/>
      </w:pPr>
      <w:r>
        <w:t xml:space="preserve">Step 6: Conduct quarterly vendor scorecards</w:t>
      </w:r>
    </w:p>
    <w:p>
      <w:pPr>
        <w:spacing w:after="100"/>
      </w:pPr>
      <w:r>
        <w:t xml:space="preserve">Every quarter, compile the monthly performance data into a vendor scorecard. Score each vendor across all criteria: quality, delivery, pricing, communication, and issue resolution. Share the scorecard with the vendor during a review call or email. Vendors scoring above 85% are retained. Vendors scoring 70-85% get a performance improvement plan. Vendors below 70% are flagged for replacement.</w:t>
      </w:r>
    </w:p>
    <w:p>
      <w:pPr>
        <w:pStyle w:val="ListParagraph"/>
        <w:numPr>
          <w:ilvl w:val="1"/>
          <w:numId w:val="1"/>
        </w:numPr>
        <w:spacing w:after="40"/>
      </w:pPr>
      <w:r>
        <w:t xml:space="preserve">Compile monthly metrics into the quarterly scorecard for each vendor</w:t>
      </w:r>
    </w:p>
    <w:p>
      <w:pPr>
        <w:pStyle w:val="ListParagraph"/>
        <w:numPr>
          <w:ilvl w:val="1"/>
          <w:numId w:val="1"/>
        </w:numPr>
        <w:spacing w:after="40"/>
      </w:pPr>
      <w:r>
        <w:t xml:space="preserve">Score each vendor on a 100-point scale across all weighted criteria</w:t>
      </w:r>
    </w:p>
    <w:p>
      <w:pPr>
        <w:pStyle w:val="ListParagraph"/>
        <w:numPr>
          <w:ilvl w:val="1"/>
          <w:numId w:val="1"/>
        </w:numPr>
        <w:spacing w:after="40"/>
      </w:pPr>
      <w:r>
        <w:t xml:space="preserve">Schedule a review call or send the scorecard to each vendor with feedback</w:t>
      </w:r>
    </w:p>
    <w:p>
      <w:pPr>
        <w:pStyle w:val="ListParagraph"/>
        <w:numPr>
          <w:ilvl w:val="1"/>
          <w:numId w:val="1"/>
        </w:numPr>
        <w:spacing w:after="40"/>
      </w:pPr>
      <w:r>
        <w:t xml:space="preserve">For vendors scoring 70-85%: create a performance improvement plan with specific targets</w:t>
      </w:r>
    </w:p>
    <w:p>
      <w:pPr>
        <w:pStyle w:val="ListParagraph"/>
        <w:numPr>
          <w:ilvl w:val="1"/>
          <w:numId w:val="1"/>
        </w:numPr>
        <w:spacing w:after="40"/>
      </w:pPr>
      <w:r>
        <w:t xml:space="preserve">For vendors below 70%: begin sourcing alternatives and plan the transition</w:t>
      </w:r>
    </w:p>
    <w:p>
      <w:pPr>
        <w:pStyle w:val="Heading3"/>
        <w:spacing w:after="40" w:before="160"/>
      </w:pPr>
      <w:r>
        <w:t xml:space="preserve">Step 7: Replace underperforming vendors</w:t>
      </w:r>
    </w:p>
    <w:p>
      <w:pPr>
        <w:spacing w:after="100"/>
      </w:pPr>
      <w:r>
        <w:t xml:space="preserve">When a vendor consistently scores below standard, begin the replacement process. Source alternatives using the same evaluation process, negotiate terms, run a trial order, and then transition the purchase volume. Give the outgoing vendor written notice per the contract terms. Maintain a 2-week overlap period to prevent stock gaps during the transition.</w:t>
      </w:r>
    </w:p>
    <w:p>
      <w:pPr>
        <w:pStyle w:val="ListParagraph"/>
        <w:numPr>
          <w:ilvl w:val="1"/>
          <w:numId w:val="1"/>
        </w:numPr>
        <w:spacing w:after="40"/>
      </w:pPr>
      <w:r>
        <w:t xml:space="preserve">Source and evaluate 2-3 alternative vendors</w:t>
      </w:r>
    </w:p>
    <w:p>
      <w:pPr>
        <w:pStyle w:val="ListParagraph"/>
        <w:numPr>
          <w:ilvl w:val="1"/>
          <w:numId w:val="1"/>
        </w:numPr>
        <w:spacing w:after="40"/>
      </w:pPr>
      <w:r>
        <w:t xml:space="preserve">Negotiate terms and run a trial order with the top candidate</w:t>
      </w:r>
    </w:p>
    <w:p>
      <w:pPr>
        <w:pStyle w:val="ListParagraph"/>
        <w:numPr>
          <w:ilvl w:val="1"/>
          <w:numId w:val="1"/>
        </w:numPr>
        <w:spacing w:after="40"/>
      </w:pPr>
      <w:r>
        <w:t xml:space="preserve">Provide written notice to the outgoing vendor per the contract</w:t>
      </w:r>
    </w:p>
    <w:p>
      <w:pPr>
        <w:pStyle w:val="ListParagraph"/>
        <w:numPr>
          <w:ilvl w:val="1"/>
          <w:numId w:val="1"/>
        </w:numPr>
        <w:spacing w:after="40"/>
      </w:pPr>
      <w:r>
        <w:t xml:space="preserve">Transition order volume with a 2-week overlap to prevent stockouts</w:t>
      </w:r>
    </w:p>
    <w:p>
      <w:pPr>
        <w:pStyle w:val="ListParagraph"/>
        <w:numPr>
          <w:ilvl w:val="1"/>
          <w:numId w:val="1"/>
        </w:numPr>
        <w:spacing w:after="40"/>
      </w:pPr>
      <w:r>
        <w:t xml:space="preserve">Update the approved vendor list and ordering system</w:t>
      </w:r>
    </w:p>
    <w:p>
      <w:pPr>
        <w:pStyle w:val="Heading2"/>
        <w:spacing w:after="100" w:before="240"/>
      </w:pPr>
      <w:r>
        <w:t xml:space="preserve">Completion Checklist</w:t>
      </w:r>
    </w:p>
    <w:p>
      <w:pPr>
        <w:spacing w:after="40"/>
      </w:pPr>
      <w:r>
        <w:t xml:space="preserve">☐  Vendor requirements defined before sourcing begins</w:t>
      </w:r>
    </w:p>
    <w:p>
      <w:pPr>
        <w:spacing w:after="40"/>
      </w:pPr>
      <w:r>
        <w:t xml:space="preserve">☐  At least 3 vendors evaluated for each new category</w:t>
      </w:r>
    </w:p>
    <w:p>
      <w:pPr>
        <w:spacing w:after="40"/>
      </w:pPr>
      <w:r>
        <w:t xml:space="preserve">☐  Vendor scorecard completed with samples tested and references checked</w:t>
      </w:r>
    </w:p>
    <w:p>
      <w:pPr>
        <w:spacing w:after="40"/>
      </w:pPr>
      <w:r>
        <w:t xml:space="preserve">☐  Contract signed with pricing, terms, delivery schedule, and return policy documented</w:t>
      </w:r>
    </w:p>
    <w:p>
      <w:pPr>
        <w:spacing w:after="40"/>
      </w:pPr>
      <w:r>
        <w:t xml:space="preserve">☐  New vendor onboarded with trial order completed successfully</w:t>
      </w:r>
    </w:p>
    <w:p>
      <w:pPr>
        <w:spacing w:after="40"/>
      </w:pPr>
      <w:r>
        <w:t xml:space="preserve">☐  Monthly vendor performance tracked: delivery, quality, accuracy, invoicing</w:t>
      </w:r>
    </w:p>
    <w:p>
      <w:pPr>
        <w:spacing w:after="40"/>
      </w:pPr>
      <w:r>
        <w:t xml:space="preserve">☐  Quarterly vendor scorecards compiled and shared with each vendor</w:t>
      </w:r>
    </w:p>
    <w:p>
      <w:pPr>
        <w:spacing w:after="40"/>
      </w:pPr>
      <w:r>
        <w:t xml:space="preserve">☐  Underperforming vendors given a written improvement plan or notice of replacement</w:t>
      </w:r>
    </w:p>
    <w:p>
      <w:pPr>
        <w:spacing w:after="40"/>
      </w:pPr>
      <w:r>
        <w:t xml:space="preserve">☐  Approved vendor list current and accessible to all ordering personnel</w:t>
      </w:r>
    </w:p>
    <w:p>
      <w:pPr>
        <w:spacing w:after="40"/>
      </w:pPr>
      <w:r>
        <w:t xml:space="preserve">☐  Vendor files organized with contracts, scorecards, and correspondence</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Vendor on-time delivery rate</w:t>
            </w:r>
          </w:p>
        </w:tc>
        <w:tc>
          <w:tcPr>
            <w:tcMar>
              <w:top w:type="dxa" w:w="60"/>
              <w:left w:type="dxa" w:w="120"/>
              <w:bottom w:type="dxa" w:w="60"/>
              <w:right w:type="dxa" w:w="120"/>
            </w:tcMar>
          </w:tcPr>
          <w:p>
            <w:r>
              <w:rPr>
                <w:b w:val="false"/>
                <w:bCs w:val="false"/>
              </w:rPr>
              <w:t xml:space="preserve">95% or higher for all active vendors</w:t>
            </w:r>
          </w:p>
        </w:tc>
      </w:tr>
      <w:tr>
        <w:trPr>
          <w:tblHeader w:val="false"/>
        </w:trPr>
        <w:tc>
          <w:tcPr>
            <w:tcMar>
              <w:top w:type="dxa" w:w="60"/>
              <w:left w:type="dxa" w:w="120"/>
              <w:bottom w:type="dxa" w:w="60"/>
              <w:right w:type="dxa" w:w="120"/>
            </w:tcMar>
          </w:tcPr>
          <w:p>
            <w:r>
              <w:rPr>
                <w:b w:val="false"/>
                <w:bCs w:val="false"/>
              </w:rPr>
              <w:t xml:space="preserve">Merchandise defect rate by vendor</w:t>
            </w:r>
          </w:p>
        </w:tc>
        <w:tc>
          <w:tcPr>
            <w:tcMar>
              <w:top w:type="dxa" w:w="60"/>
              <w:left w:type="dxa" w:w="120"/>
              <w:bottom w:type="dxa" w:w="60"/>
              <w:right w:type="dxa" w:w="120"/>
            </w:tcMar>
          </w:tcPr>
          <w:p>
            <w:r>
              <w:rPr>
                <w:b w:val="false"/>
                <w:bCs w:val="false"/>
              </w:rPr>
              <w:t xml:space="preserve">Under 2% of delivered units per vendor</w:t>
            </w:r>
          </w:p>
        </w:tc>
      </w:tr>
      <w:tr>
        <w:trPr>
          <w:tblHeader w:val="false"/>
        </w:trPr>
        <w:tc>
          <w:tcPr>
            <w:tcMar>
              <w:top w:type="dxa" w:w="60"/>
              <w:left w:type="dxa" w:w="120"/>
              <w:bottom w:type="dxa" w:w="60"/>
              <w:right w:type="dxa" w:w="120"/>
            </w:tcMar>
          </w:tcPr>
          <w:p>
            <w:r>
              <w:rPr>
                <w:b w:val="false"/>
                <w:bCs w:val="false"/>
              </w:rPr>
              <w:t xml:space="preserve">Invoice accuracy rate</w:t>
            </w:r>
          </w:p>
        </w:tc>
        <w:tc>
          <w:tcPr>
            <w:tcMar>
              <w:top w:type="dxa" w:w="60"/>
              <w:left w:type="dxa" w:w="120"/>
              <w:bottom w:type="dxa" w:w="60"/>
              <w:right w:type="dxa" w:w="120"/>
            </w:tcMar>
          </w:tcPr>
          <w:p>
            <w:r>
              <w:rPr>
                <w:b w:val="false"/>
                <w:bCs w:val="false"/>
              </w:rPr>
              <w:t xml:space="preserve">98% of invoices match the contract pricing without correction</w:t>
            </w:r>
          </w:p>
        </w:tc>
      </w:tr>
      <w:tr>
        <w:trPr>
          <w:tblHeader w:val="false"/>
        </w:trPr>
        <w:tc>
          <w:tcPr>
            <w:tcMar>
              <w:top w:type="dxa" w:w="60"/>
              <w:left w:type="dxa" w:w="120"/>
              <w:bottom w:type="dxa" w:w="60"/>
              <w:right w:type="dxa" w:w="120"/>
            </w:tcMar>
          </w:tcPr>
          <w:p>
            <w:r>
              <w:rPr>
                <w:b w:val="false"/>
                <w:bCs w:val="false"/>
              </w:rPr>
              <w:t xml:space="preserve">Vendor scorecard completion rate</w:t>
            </w:r>
          </w:p>
        </w:tc>
        <w:tc>
          <w:tcPr>
            <w:tcMar>
              <w:top w:type="dxa" w:w="60"/>
              <w:left w:type="dxa" w:w="120"/>
              <w:bottom w:type="dxa" w:w="60"/>
              <w:right w:type="dxa" w:w="120"/>
            </w:tcMar>
          </w:tcPr>
          <w:p>
            <w:r>
              <w:rPr>
                <w:b w:val="false"/>
                <w:bCs w:val="false"/>
              </w:rPr>
              <w:t xml:space="preserve">100% of active vendors scored quarterly</w:t>
            </w:r>
          </w:p>
        </w:tc>
      </w:tr>
    </w:tbl>
    <w:p>
      <w:pPr>
        <w:pStyle w:val="Heading2"/>
        <w:spacing w:after="100" w:before="240"/>
      </w:pPr>
      <w:r>
        <w:t xml:space="preserve">Revision Schedule</w:t>
      </w:r>
    </w:p>
    <w:p>
      <w:pPr>
        <w:spacing w:after="100"/>
      </w:pPr>
      <w:r>
        <w:t xml:space="preserve">Semi-annually, or immediately after a major vendor change, supply chain disruption, or shift in product strategy.</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Retail Vendor Management Standard Operating Procedure Template</dc:title>
  <dc:creator>Glyde</dc:creator>
  <dc:description>Free vendor management SOP template for retail stores. Covers vendor evaluation, contract negotiation, delivery performance tracking, and vendor scorecards.</dc:description>
  <cp:lastModifiedBy>Un-named</cp:lastModifiedBy>
  <cp:revision>1</cp:revision>
  <dcterms:created xsi:type="dcterms:W3CDTF">2026-07-22T08:34:36.505Z</dcterms:created>
  <dcterms:modified xsi:type="dcterms:W3CDTF">2026-07-22T08:34:36.505Z</dcterms:modified>
</cp:coreProperties>
</file>

<file path=docProps/custom.xml><?xml version="1.0" encoding="utf-8"?>
<Properties xmlns="http://schemas.openxmlformats.org/officeDocument/2006/custom-properties" xmlns:vt="http://schemas.openxmlformats.org/officeDocument/2006/docPropsVTypes"/>
</file>