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SaaS Vendor Management Standard Operating Procedure Template</w:t>
      </w:r>
    </w:p>
    <w:p>
      <w:pPr>
        <w:spacing w:after="200"/>
      </w:pPr>
      <w:r>
        <w:rPr>
          <w:i/>
          <w:iCs/>
          <w:color w:val="6B7280"/>
        </w:rPr>
        <w:t xml:space="preserve">Free SaaS vendor management SOP template. Covers vendor evaluation, SOC 2 compliance checks, security questionnaires, and renewal workflows.</w:t>
      </w:r>
    </w:p>
    <w:p>
      <w:pPr>
        <w:pStyle w:val="Heading2"/>
        <w:spacing w:after="100" w:before="240"/>
      </w:pPr>
      <w:r>
        <w:t xml:space="preserve">Purpose</w:t>
      </w:r>
    </w:p>
    <w:p>
      <w:pPr>
        <w:spacing w:after="100"/>
      </w:pPr>
      <w:r>
        <w:t xml:space="preserve">Define a repeatable process for evaluating, onboarding, monitoring, and renewing SaaS vendors so your company maintains SOC 2 compliance and avoids security blind spots in the supply chain. This SOP covers the full vendor lifecycle — from initial evaluation scorecard through annual renewal — with specific gates for security, legal, and finance review at each stage.</w:t>
      </w:r>
    </w:p>
    <w:p>
      <w:pPr>
        <w:pStyle w:val="Heading2"/>
        <w:spacing w:after="100" w:before="240"/>
      </w:pPr>
      <w:r>
        <w:t xml:space="preserve">Scope</w:t>
      </w:r>
    </w:p>
    <w:p>
      <w:pPr>
        <w:spacing w:after="100"/>
      </w:pPr>
      <w:r>
        <w:t xml:space="preserve">Applies to all third-party SaaS vendors that access, store, or process company or customer data. Includes free-tier tools adopted by individual teams. Excludes physical goods suppliers and one-time consulting engagements.</w:t>
      </w:r>
    </w:p>
    <w:p>
      <w:pPr>
        <w:pStyle w:val="Heading2"/>
        <w:spacing w:after="100" w:before="240"/>
      </w:pPr>
      <w:r>
        <w:t xml:space="preserve">Prerequisites</w:t>
      </w:r>
    </w:p>
    <w:p>
      <w:pPr>
        <w:pStyle w:val="ListParagraph"/>
        <w:numPr>
          <w:ilvl w:val="0"/>
          <w:numId w:val="1"/>
        </w:numPr>
        <w:spacing w:after="40"/>
      </w:pPr>
      <w:r>
        <w:t xml:space="preserve">Approved vendor evaluation scorecard template in Notion or Confluence</w:t>
      </w:r>
    </w:p>
    <w:p>
      <w:pPr>
        <w:pStyle w:val="ListParagraph"/>
        <w:numPr>
          <w:ilvl w:val="0"/>
          <w:numId w:val="1"/>
        </w:numPr>
        <w:spacing w:after="40"/>
      </w:pPr>
      <w:r>
        <w:t xml:space="preserve">Standard security questionnaire (SIG Lite or custom) ready to send</w:t>
      </w:r>
    </w:p>
    <w:p>
      <w:pPr>
        <w:pStyle w:val="ListParagraph"/>
        <w:numPr>
          <w:ilvl w:val="0"/>
          <w:numId w:val="1"/>
        </w:numPr>
        <w:spacing w:after="40"/>
      </w:pPr>
      <w:r>
        <w:t xml:space="preserve">Legal team has a vetted DPA and MSA template on file</w:t>
      </w:r>
    </w:p>
    <w:p>
      <w:pPr>
        <w:pStyle w:val="ListParagraph"/>
        <w:numPr>
          <w:ilvl w:val="0"/>
          <w:numId w:val="1"/>
        </w:numPr>
        <w:spacing w:after="40"/>
      </w:pPr>
      <w:r>
        <w:t xml:space="preserve">Budget owner identified for the requesting department</w:t>
      </w:r>
    </w:p>
    <w:p>
      <w:pPr>
        <w:pStyle w:val="ListParagraph"/>
        <w:numPr>
          <w:ilvl w:val="0"/>
          <w:numId w:val="1"/>
        </w:numPr>
        <w:spacing w:after="40"/>
      </w:pPr>
      <w:r>
        <w:t xml:space="preserve">Vendor inventory spreadsheet or tool (e.g., Zylo, Productiv, or Google Sheet) accessible to IT and Finance</w:t>
      </w:r>
    </w:p>
    <w:p>
      <w:pPr>
        <w:pStyle w:val="Heading2"/>
        <w:spacing w:after="100" w:before="240"/>
      </w:pPr>
      <w:r>
        <w:t xml:space="preserve">Roles &amp; Responsibilities</w:t>
      </w:r>
    </w:p>
    <w:p>
      <w:pPr>
        <w:spacing w:after="40" w:before="120"/>
      </w:pPr>
      <w:r>
        <w:rPr>
          <w:b/>
          <w:bCs/>
        </w:rPr>
        <w:t xml:space="preserve">Requesting Team Lead</w:t>
      </w:r>
    </w:p>
    <w:p>
      <w:pPr>
        <w:pStyle w:val="ListParagraph"/>
        <w:numPr>
          <w:ilvl w:val="0"/>
          <w:numId w:val="1"/>
        </w:numPr>
        <w:spacing w:after="40"/>
      </w:pPr>
      <w:r>
        <w:t xml:space="preserve">Submit the vendor request with business justification and estimated annual cost</w:t>
      </w:r>
    </w:p>
    <w:p>
      <w:pPr>
        <w:pStyle w:val="ListParagraph"/>
        <w:numPr>
          <w:ilvl w:val="0"/>
          <w:numId w:val="1"/>
        </w:numPr>
        <w:spacing w:after="40"/>
      </w:pPr>
      <w:r>
        <w:t xml:space="preserve">Complete the initial vendor evaluation scorecard</w:t>
      </w:r>
    </w:p>
    <w:p>
      <w:pPr>
        <w:pStyle w:val="ListParagraph"/>
        <w:numPr>
          <w:ilvl w:val="0"/>
          <w:numId w:val="1"/>
        </w:numPr>
        <w:spacing w:after="40"/>
      </w:pPr>
      <w:r>
        <w:t xml:space="preserve">Own the vendor relationship post-approval and flag issues during the contract term</w:t>
      </w:r>
    </w:p>
    <w:p>
      <w:pPr>
        <w:spacing w:after="40" w:before="120"/>
      </w:pPr>
      <w:r>
        <w:rPr>
          <w:b/>
          <w:bCs/>
        </w:rPr>
        <w:t xml:space="preserve">IT Security Lead</w:t>
      </w:r>
    </w:p>
    <w:p>
      <w:pPr>
        <w:pStyle w:val="ListParagraph"/>
        <w:numPr>
          <w:ilvl w:val="0"/>
          <w:numId w:val="1"/>
        </w:numPr>
        <w:spacing w:after="40"/>
      </w:pPr>
      <w:r>
        <w:t xml:space="preserve">Send and review the security questionnaire responses</w:t>
      </w:r>
    </w:p>
    <w:p>
      <w:pPr>
        <w:pStyle w:val="ListParagraph"/>
        <w:numPr>
          <w:ilvl w:val="0"/>
          <w:numId w:val="1"/>
        </w:numPr>
        <w:spacing w:after="40"/>
      </w:pPr>
      <w:r>
        <w:t xml:space="preserve">Verify the vendor holds a current SOC 2 Type II report or equivalent certification</w:t>
      </w:r>
    </w:p>
    <w:p>
      <w:pPr>
        <w:pStyle w:val="ListParagraph"/>
        <w:numPr>
          <w:ilvl w:val="0"/>
          <w:numId w:val="1"/>
        </w:numPr>
        <w:spacing w:after="40"/>
      </w:pPr>
      <w:r>
        <w:t xml:space="preserve">Confirm SSO/SAML support and assess data encryption practices</w:t>
      </w:r>
    </w:p>
    <w:p>
      <w:pPr>
        <w:pStyle w:val="ListParagraph"/>
        <w:numPr>
          <w:ilvl w:val="0"/>
          <w:numId w:val="1"/>
        </w:numPr>
        <w:spacing w:after="40"/>
      </w:pPr>
      <w:r>
        <w:t xml:space="preserve">Conduct annual vendor security re-assessments</w:t>
      </w:r>
    </w:p>
    <w:p>
      <w:pPr>
        <w:spacing w:after="40" w:before="120"/>
      </w:pPr>
      <w:r>
        <w:rPr>
          <w:b/>
          <w:bCs/>
        </w:rPr>
        <w:t xml:space="preserve">Legal Counsel</w:t>
      </w:r>
    </w:p>
    <w:p>
      <w:pPr>
        <w:pStyle w:val="ListParagraph"/>
        <w:numPr>
          <w:ilvl w:val="0"/>
          <w:numId w:val="1"/>
        </w:numPr>
        <w:spacing w:after="40"/>
      </w:pPr>
      <w:r>
        <w:t xml:space="preserve">Review the vendor's DPA, MSA, and Terms of Service</w:t>
      </w:r>
    </w:p>
    <w:p>
      <w:pPr>
        <w:pStyle w:val="ListParagraph"/>
        <w:numPr>
          <w:ilvl w:val="0"/>
          <w:numId w:val="1"/>
        </w:numPr>
        <w:spacing w:after="40"/>
      </w:pPr>
      <w:r>
        <w:t xml:space="preserve">Confirm GDPR data processing requirements are met for EU data</w:t>
      </w:r>
    </w:p>
    <w:p>
      <w:pPr>
        <w:pStyle w:val="ListParagraph"/>
        <w:numPr>
          <w:ilvl w:val="0"/>
          <w:numId w:val="1"/>
        </w:numPr>
        <w:spacing w:after="40"/>
      </w:pPr>
      <w:r>
        <w:t xml:space="preserve">Flag non-standard liability, indemnification, or auto-renewal clauses</w:t>
      </w:r>
    </w:p>
    <w:p>
      <w:pPr>
        <w:spacing w:after="40" w:before="120"/>
      </w:pPr>
      <w:r>
        <w:rPr>
          <w:b/>
          <w:bCs/>
        </w:rPr>
        <w:t xml:space="preserve">Finance / Procurement Lead</w:t>
      </w:r>
    </w:p>
    <w:p>
      <w:pPr>
        <w:pStyle w:val="ListParagraph"/>
        <w:numPr>
          <w:ilvl w:val="0"/>
          <w:numId w:val="1"/>
        </w:numPr>
        <w:spacing w:after="40"/>
      </w:pPr>
      <w:r>
        <w:t xml:space="preserve">Validate budget availability and approve spend</w:t>
      </w:r>
    </w:p>
    <w:p>
      <w:pPr>
        <w:pStyle w:val="ListParagraph"/>
        <w:numPr>
          <w:ilvl w:val="0"/>
          <w:numId w:val="1"/>
        </w:numPr>
        <w:spacing w:after="40"/>
      </w:pPr>
      <w:r>
        <w:t xml:space="preserve">Negotiate pricing and payment terms</w:t>
      </w:r>
    </w:p>
    <w:p>
      <w:pPr>
        <w:pStyle w:val="ListParagraph"/>
        <w:numPr>
          <w:ilvl w:val="0"/>
          <w:numId w:val="1"/>
        </w:numPr>
        <w:spacing w:after="40"/>
      </w:pPr>
      <w:r>
        <w:t xml:space="preserve">Track contract renewal dates and trigger the 90-day renewal review</w:t>
      </w:r>
    </w:p>
    <w:p>
      <w:pPr>
        <w:pStyle w:val="Heading2"/>
        <w:spacing w:after="100" w:before="240"/>
      </w:pPr>
      <w:r>
        <w:t xml:space="preserve">Procedure</w:t>
      </w:r>
    </w:p>
    <w:p>
      <w:pPr>
        <w:pStyle w:val="Heading3"/>
        <w:spacing w:after="40" w:before="160"/>
      </w:pPr>
      <w:r>
        <w:t xml:space="preserve">Step 1: Submit the vendor request</w:t>
      </w:r>
    </w:p>
    <w:p>
      <w:pPr>
        <w:spacing w:after="100"/>
      </w:pPr>
      <w:r>
        <w:t xml:space="preserve">The requesting team lead fills out the vendor request form in Notion or Confluence. Include: vendor name, product URL, what data the tool will access, estimated annual cost, number of seats, and the business problem it solves. Tag the IT Security Lead and Finance Lead for review.</w:t>
      </w:r>
    </w:p>
    <w:p>
      <w:pPr>
        <w:pStyle w:val="ListParagraph"/>
        <w:numPr>
          <w:ilvl w:val="1"/>
          <w:numId w:val="1"/>
        </w:numPr>
        <w:spacing w:after="40"/>
      </w:pPr>
      <w:r>
        <w:t xml:space="preserve">Open the Vendor Request template in your documentation tool</w:t>
      </w:r>
    </w:p>
    <w:p>
      <w:pPr>
        <w:pStyle w:val="ListParagraph"/>
        <w:numPr>
          <w:ilvl w:val="1"/>
          <w:numId w:val="1"/>
        </w:numPr>
        <w:spacing w:after="40"/>
      </w:pPr>
      <w:r>
        <w:t xml:space="preserve">Fill in vendor name, URL, pricing tier, and estimated seat count</w:t>
      </w:r>
    </w:p>
    <w:p>
      <w:pPr>
        <w:pStyle w:val="ListParagraph"/>
        <w:numPr>
          <w:ilvl w:val="1"/>
          <w:numId w:val="1"/>
        </w:numPr>
        <w:spacing w:after="40"/>
      </w:pPr>
      <w:r>
        <w:t xml:space="preserve">Specify what company or customer data the tool will access (e.g., email addresses, support tickets, source code)</w:t>
      </w:r>
    </w:p>
    <w:p>
      <w:pPr>
        <w:pStyle w:val="ListParagraph"/>
        <w:numPr>
          <w:ilvl w:val="1"/>
          <w:numId w:val="1"/>
        </w:numPr>
        <w:spacing w:after="40"/>
      </w:pPr>
      <w:r>
        <w:t xml:space="preserve">Describe the business need in 2-3 sentences — what problem this solves that existing tools do not</w:t>
      </w:r>
    </w:p>
    <w:p>
      <w:pPr>
        <w:spacing w:after="100"/>
      </w:pPr>
      <w:r>
        <w:rPr>
          <w:i/>
          <w:iCs/>
          <w:color w:val="1F7A4D"/>
        </w:rPr>
        <w:t xml:space="preserve">Tip: Check your vendor inventory first. Another team may already have a license for the same tool or a competitor that does the same thing.</w:t>
      </w:r>
    </w:p>
    <w:p>
      <w:pPr>
        <w:pStyle w:val="Heading3"/>
        <w:spacing w:after="40" w:before="160"/>
      </w:pPr>
      <w:r>
        <w:t xml:space="preserve">Step 2: Score the vendor with the evaluation scorecard</w:t>
      </w:r>
    </w:p>
    <w:p>
      <w:pPr>
        <w:spacing w:after="100"/>
      </w:pPr>
      <w:r>
        <w:t xml:space="preserve">Rate the vendor across 6 dimensions: functionality fit (does it solve the stated problem), security posture (SOC 2, encryption, access controls), integration capability (API, SSO/SAML support), pricing (per-seat cost vs. budget), vendor stability (funding, customer base, uptime SLA), and data residency (where data is stored and processed).</w:t>
      </w:r>
    </w:p>
    <w:p>
      <w:pPr>
        <w:pStyle w:val="ListParagraph"/>
        <w:numPr>
          <w:ilvl w:val="1"/>
          <w:numId w:val="1"/>
        </w:numPr>
        <w:spacing w:after="40"/>
      </w:pPr>
      <w:r>
        <w:t xml:space="preserve">Score each dimension 1-5 based on documented criteria</w:t>
      </w:r>
    </w:p>
    <w:p>
      <w:pPr>
        <w:pStyle w:val="ListParagraph"/>
        <w:numPr>
          <w:ilvl w:val="1"/>
          <w:numId w:val="1"/>
        </w:numPr>
        <w:spacing w:after="40"/>
      </w:pPr>
      <w:r>
        <w:t xml:space="preserve">Flag any dimension scoring below 3 as a blocker requiring mitigation</w:t>
      </w:r>
    </w:p>
    <w:p>
      <w:pPr>
        <w:pStyle w:val="ListParagraph"/>
        <w:numPr>
          <w:ilvl w:val="1"/>
          <w:numId w:val="1"/>
        </w:numPr>
        <w:spacing w:after="40"/>
      </w:pPr>
      <w:r>
        <w:t xml:space="preserve">Compare against at least 2 alternative vendors before proceeding</w:t>
      </w:r>
    </w:p>
    <w:p>
      <w:pPr>
        <w:pStyle w:val="ListParagraph"/>
        <w:numPr>
          <w:ilvl w:val="1"/>
          <w:numId w:val="1"/>
        </w:numPr>
        <w:spacing w:after="40"/>
      </w:pPr>
      <w:r>
        <w:t xml:space="preserve">Document the scorecard results in the vendor request ticket</w:t>
      </w:r>
    </w:p>
    <w:p>
      <w:pPr>
        <w:spacing w:after="100"/>
      </w:pPr>
      <w:r>
        <w:rPr>
          <w:i/>
          <w:iCs/>
          <w:color w:val="B45309"/>
        </w:rPr>
        <w:t xml:space="preserve">Warning: A vendor without SOC 2 Type II or ISO 27001 certification is a hard block if they will access customer data. No exceptions without CISO sign-off.</w:t>
      </w:r>
    </w:p>
    <w:p>
      <w:pPr>
        <w:pStyle w:val="Heading3"/>
        <w:spacing w:after="40" w:before="160"/>
      </w:pPr>
      <w:r>
        <w:t xml:space="preserve">Step 3: Send the security questionnaire</w:t>
      </w:r>
    </w:p>
    <w:p>
      <w:pPr>
        <w:spacing w:after="100"/>
      </w:pPr>
      <w:r>
        <w:t xml:space="preserve">IT Security sends the standard security questionnaire to the vendor's security team. Use SIG Lite if the vendor is low-risk (no customer data access) or your full custom questionnaire for high-risk vendors. Set a 10-business-day response deadline.</w:t>
      </w:r>
    </w:p>
    <w:p>
      <w:pPr>
        <w:pStyle w:val="ListParagraph"/>
        <w:numPr>
          <w:ilvl w:val="1"/>
          <w:numId w:val="1"/>
        </w:numPr>
        <w:spacing w:after="40"/>
      </w:pPr>
      <w:r>
        <w:t xml:space="preserve">Classify the vendor as low, medium, or high risk based on data access</w:t>
      </w:r>
    </w:p>
    <w:p>
      <w:pPr>
        <w:pStyle w:val="ListParagraph"/>
        <w:numPr>
          <w:ilvl w:val="1"/>
          <w:numId w:val="1"/>
        </w:numPr>
        <w:spacing w:after="40"/>
      </w:pPr>
      <w:r>
        <w:t xml:space="preserve">Select the appropriate questionnaire version</w:t>
      </w:r>
    </w:p>
    <w:p>
      <w:pPr>
        <w:pStyle w:val="ListParagraph"/>
        <w:numPr>
          <w:ilvl w:val="1"/>
          <w:numId w:val="1"/>
        </w:numPr>
        <w:spacing w:after="40"/>
      </w:pPr>
      <w:r>
        <w:t xml:space="preserve">Email the questionnaire to the vendor's security contact</w:t>
      </w:r>
    </w:p>
    <w:p>
      <w:pPr>
        <w:pStyle w:val="ListParagraph"/>
        <w:numPr>
          <w:ilvl w:val="1"/>
          <w:numId w:val="1"/>
        </w:numPr>
        <w:spacing w:after="40"/>
      </w:pPr>
      <w:r>
        <w:t xml:space="preserve">Log the send date and follow up if no response by Day 7</w:t>
      </w:r>
    </w:p>
    <w:p>
      <w:pPr>
        <w:spacing w:after="100"/>
      </w:pPr>
      <w:r>
        <w:rPr>
          <w:i/>
          <w:iCs/>
          <w:color w:val="1F7A4D"/>
        </w:rPr>
        <w:t xml:space="preserve">Tip: Many established SaaS vendors publish their SOC 2 report and completed CAIQ on their trust page. Check there before sending a redundant questionnaire.</w:t>
      </w:r>
    </w:p>
    <w:p>
      <w:pPr>
        <w:pStyle w:val="Heading3"/>
        <w:spacing w:after="40" w:before="160"/>
      </w:pPr>
      <w:r>
        <w:t xml:space="preserve">Step 4: Review security questionnaire responses</w:t>
      </w:r>
    </w:p>
    <w:p>
      <w:pPr>
        <w:spacing w:after="100"/>
      </w:pPr>
      <w:r>
        <w:t xml:space="preserve">IT Security reviews the completed questionnaire within 5 business days. Verify: data encryption at rest and in transit (minimum AES-256 and TLS 1.2), SOC 2 Type II report dated within 12 months, SSO/SAML support for enterprise plan, MFA enforcement on admin accounts, and a documented incident response plan.</w:t>
      </w:r>
    </w:p>
    <w:p>
      <w:pPr>
        <w:pStyle w:val="ListParagraph"/>
        <w:numPr>
          <w:ilvl w:val="1"/>
          <w:numId w:val="1"/>
        </w:numPr>
        <w:spacing w:after="40"/>
      </w:pPr>
      <w:r>
        <w:t xml:space="preserve">Confirm encryption standards meet your baseline (AES-256, TLS 1.2+)</w:t>
      </w:r>
    </w:p>
    <w:p>
      <w:pPr>
        <w:pStyle w:val="ListParagraph"/>
        <w:numPr>
          <w:ilvl w:val="1"/>
          <w:numId w:val="1"/>
        </w:numPr>
        <w:spacing w:after="40"/>
      </w:pPr>
      <w:r>
        <w:t xml:space="preserve">Verify SOC 2 Type II report is current — check the audit period end date</w:t>
      </w:r>
    </w:p>
    <w:p>
      <w:pPr>
        <w:pStyle w:val="ListParagraph"/>
        <w:numPr>
          <w:ilvl w:val="1"/>
          <w:numId w:val="1"/>
        </w:numPr>
        <w:spacing w:after="40"/>
      </w:pPr>
      <w:r>
        <w:t xml:space="preserve">Confirm SSO/SAML is available on the plan you're purchasing, not just the enterprise tier</w:t>
      </w:r>
    </w:p>
    <w:p>
      <w:pPr>
        <w:pStyle w:val="ListParagraph"/>
        <w:numPr>
          <w:ilvl w:val="1"/>
          <w:numId w:val="1"/>
        </w:numPr>
        <w:spacing w:after="40"/>
      </w:pPr>
      <w:r>
        <w:t xml:space="preserve">Review the vendor's breach notification timeline — must be under 72 hours for GDPR</w:t>
      </w:r>
    </w:p>
    <w:p>
      <w:pPr>
        <w:spacing w:after="100"/>
      </w:pPr>
      <w:r>
        <w:rPr>
          <w:i/>
          <w:iCs/>
          <w:color w:val="B45309"/>
        </w:rPr>
        <w:t xml:space="preserve">Warning: If the vendor doesn't support SSO/SAML, every employee gets a separate password. This creates credential sprawl and is a SOC 2 audit finding waiting to happen.</w:t>
      </w:r>
    </w:p>
    <w:p>
      <w:pPr>
        <w:pStyle w:val="Heading3"/>
        <w:spacing w:after="40" w:before="160"/>
      </w:pPr>
      <w:r>
        <w:t xml:space="preserve">Step 5: Legal contract review</w:t>
      </w:r>
    </w:p>
    <w:p>
      <w:pPr>
        <w:spacing w:after="100"/>
      </w:pPr>
      <w:r>
        <w:t xml:space="preserve">Legal reviews the vendor's MSA, DPA, and Terms of Service. Key items: data ownership clause (you own your data), sub-processor disclosure requirements, liability caps, auto-renewal terms, and termination rights. For vendors processing EU personal data, confirm the DPA includes Standard Contractual Clauses.</w:t>
      </w:r>
    </w:p>
    <w:p>
      <w:pPr>
        <w:pStyle w:val="ListParagraph"/>
        <w:numPr>
          <w:ilvl w:val="1"/>
          <w:numId w:val="1"/>
        </w:numPr>
        <w:spacing w:after="40"/>
      </w:pPr>
      <w:r>
        <w:t xml:space="preserve">Redline any non-standard liability or indemnification clauses</w:t>
      </w:r>
    </w:p>
    <w:p>
      <w:pPr>
        <w:pStyle w:val="ListParagraph"/>
        <w:numPr>
          <w:ilvl w:val="1"/>
          <w:numId w:val="1"/>
        </w:numPr>
        <w:spacing w:after="40"/>
      </w:pPr>
      <w:r>
        <w:t xml:space="preserve">Confirm data deletion obligations upon contract termination</w:t>
      </w:r>
    </w:p>
    <w:p>
      <w:pPr>
        <w:pStyle w:val="ListParagraph"/>
        <w:numPr>
          <w:ilvl w:val="1"/>
          <w:numId w:val="1"/>
        </w:numPr>
        <w:spacing w:after="40"/>
      </w:pPr>
      <w:r>
        <w:t xml:space="preserve">Verify sub-processor notification requirements are in the DPA</w:t>
      </w:r>
    </w:p>
    <w:p>
      <w:pPr>
        <w:pStyle w:val="ListParagraph"/>
        <w:numPr>
          <w:ilvl w:val="1"/>
          <w:numId w:val="1"/>
        </w:numPr>
        <w:spacing w:after="40"/>
      </w:pPr>
      <w:r>
        <w:t xml:space="preserve">Flag auto-renewal clauses and note the opt-out window</w:t>
      </w:r>
    </w:p>
    <w:p>
      <w:pPr>
        <w:pStyle w:val="Heading3"/>
        <w:spacing w:after="40" w:before="160"/>
      </w:pPr>
      <w:r>
        <w:t xml:space="preserve">Step 6: Finance approval and contract execution</w:t>
      </w:r>
    </w:p>
    <w:p>
      <w:pPr>
        <w:spacing w:after="100"/>
      </w:pPr>
      <w:r>
        <w:t xml:space="preserve">Finance validates the spend against the department budget and approves the purchase. Negotiate annual vs. monthly pricing — annual contracts typically save 15-20%. Once approved, the budget owner and an authorized signer execute the contract. Log the contract start date, end date, and renewal deadline in the vendor tracker.</w:t>
      </w:r>
    </w:p>
    <w:p>
      <w:pPr>
        <w:pStyle w:val="ListParagraph"/>
        <w:numPr>
          <w:ilvl w:val="1"/>
          <w:numId w:val="1"/>
        </w:numPr>
        <w:spacing w:after="40"/>
      </w:pPr>
      <w:r>
        <w:t xml:space="preserve">Confirm the vendor spend fits within the quarterly budget</w:t>
      </w:r>
    </w:p>
    <w:p>
      <w:pPr>
        <w:pStyle w:val="ListParagraph"/>
        <w:numPr>
          <w:ilvl w:val="1"/>
          <w:numId w:val="1"/>
        </w:numPr>
        <w:spacing w:after="40"/>
      </w:pPr>
      <w:r>
        <w:t xml:space="preserve">Request annual pricing discount if committing for 12 months</w:t>
      </w:r>
    </w:p>
    <w:p>
      <w:pPr>
        <w:pStyle w:val="ListParagraph"/>
        <w:numPr>
          <w:ilvl w:val="1"/>
          <w:numId w:val="1"/>
        </w:numPr>
        <w:spacing w:after="40"/>
      </w:pPr>
      <w:r>
        <w:t xml:space="preserve">Route the contract for authorized signature</w:t>
      </w:r>
    </w:p>
    <w:p>
      <w:pPr>
        <w:pStyle w:val="ListParagraph"/>
        <w:numPr>
          <w:ilvl w:val="1"/>
          <w:numId w:val="1"/>
        </w:numPr>
        <w:spacing w:after="40"/>
      </w:pPr>
      <w:r>
        <w:t xml:space="preserve">Enter the contract into the vendor tracker with renewal date alert set for 90 days before expiry</w:t>
      </w:r>
    </w:p>
    <w:p>
      <w:pPr>
        <w:pStyle w:val="Heading3"/>
        <w:spacing w:after="40" w:before="160"/>
      </w:pPr>
      <w:r>
        <w:t xml:space="preserve">Step 7: Onboard the vendor into your environment</w:t>
      </w:r>
    </w:p>
    <w:p>
      <w:pPr>
        <w:spacing w:after="100"/>
      </w:pPr>
      <w:r>
        <w:t xml:space="preserve">IT configures SSO/SAML integration, sets up the vendor in your identity provider (Okta, Azure AD, Google Workspace), and assigns initial user access. The requesting team lead configures the tool for their team's workflow and documents the setup in a shared runbook.</w:t>
      </w:r>
    </w:p>
    <w:p>
      <w:pPr>
        <w:pStyle w:val="ListParagraph"/>
        <w:numPr>
          <w:ilvl w:val="1"/>
          <w:numId w:val="1"/>
        </w:numPr>
        <w:spacing w:after="40"/>
      </w:pPr>
      <w:r>
        <w:t xml:space="preserve">Configure SSO/SAML in your identity provider</w:t>
      </w:r>
    </w:p>
    <w:p>
      <w:pPr>
        <w:pStyle w:val="ListParagraph"/>
        <w:numPr>
          <w:ilvl w:val="1"/>
          <w:numId w:val="1"/>
        </w:numPr>
        <w:spacing w:after="40"/>
      </w:pPr>
      <w:r>
        <w:t xml:space="preserve">Create a vendor-specific group in your IdP for access management</w:t>
      </w:r>
    </w:p>
    <w:p>
      <w:pPr>
        <w:pStyle w:val="ListParagraph"/>
        <w:numPr>
          <w:ilvl w:val="1"/>
          <w:numId w:val="1"/>
        </w:numPr>
        <w:spacing w:after="40"/>
      </w:pPr>
      <w:r>
        <w:t xml:space="preserve">Assign seats to approved users only — no shared accounts</w:t>
      </w:r>
    </w:p>
    <w:p>
      <w:pPr>
        <w:pStyle w:val="ListParagraph"/>
        <w:numPr>
          <w:ilvl w:val="1"/>
          <w:numId w:val="1"/>
        </w:numPr>
        <w:spacing w:after="40"/>
      </w:pPr>
      <w:r>
        <w:t xml:space="preserve">Document the tool's configuration and key workflows in Notion or Confluence</w:t>
      </w:r>
    </w:p>
    <w:p>
      <w:pPr>
        <w:spacing w:after="100"/>
      </w:pPr>
      <w:r>
        <w:rPr>
          <w:i/>
          <w:iCs/>
          <w:color w:val="1F7A4D"/>
        </w:rPr>
        <w:t xml:space="preserve">Tip: Record the setup walkthrough with Glyde so future admins can replicate the configuration without starting from scratch.</w:t>
      </w:r>
    </w:p>
    <w:p>
      <w:pPr>
        <w:pStyle w:val="Heading3"/>
        <w:spacing w:after="40" w:before="160"/>
      </w:pPr>
      <w:r>
        <w:t xml:space="preserve">Step 8: Add the vendor to the inventory and monitoring schedule</w:t>
      </w:r>
    </w:p>
    <w:p>
      <w:pPr>
        <w:spacing w:after="100"/>
      </w:pPr>
      <w:r>
        <w:t xml:space="preserve">Add the approved vendor to your master vendor inventory with: vendor name, data classification, risk tier, contract dates, annual cost, SSO status, SOC 2 report expiry, and the internal owner. Set calendar reminders for the SOC 2 report refresh (annual) and contract renewal review (90 days before expiry).</w:t>
      </w:r>
    </w:p>
    <w:p>
      <w:pPr>
        <w:pStyle w:val="ListParagraph"/>
        <w:numPr>
          <w:ilvl w:val="1"/>
          <w:numId w:val="1"/>
        </w:numPr>
        <w:spacing w:after="40"/>
      </w:pPr>
      <w:r>
        <w:t xml:space="preserve">Update the vendor inventory spreadsheet or SaaS management tool</w:t>
      </w:r>
    </w:p>
    <w:p>
      <w:pPr>
        <w:pStyle w:val="ListParagraph"/>
        <w:numPr>
          <w:ilvl w:val="1"/>
          <w:numId w:val="1"/>
        </w:numPr>
        <w:spacing w:after="40"/>
      </w:pPr>
      <w:r>
        <w:t xml:space="preserve">Set a recurring annual reminder to request the updated SOC 2 report</w:t>
      </w:r>
    </w:p>
    <w:p>
      <w:pPr>
        <w:pStyle w:val="ListParagraph"/>
        <w:numPr>
          <w:ilvl w:val="1"/>
          <w:numId w:val="1"/>
        </w:numPr>
        <w:spacing w:after="40"/>
      </w:pPr>
      <w:r>
        <w:t xml:space="preserve">Set a 90-day-before-renewal reminder for Finance and the vendor owner</w:t>
      </w:r>
    </w:p>
    <w:p>
      <w:pPr>
        <w:pStyle w:val="ListParagraph"/>
        <w:numPr>
          <w:ilvl w:val="1"/>
          <w:numId w:val="1"/>
        </w:numPr>
        <w:spacing w:after="40"/>
      </w:pPr>
      <w:r>
        <w:t xml:space="preserve">Tag the vendor with its risk tier for audit reporting</w:t>
      </w:r>
    </w:p>
    <w:p>
      <w:pPr>
        <w:pStyle w:val="Heading3"/>
        <w:spacing w:after="40" w:before="160"/>
      </w:pPr>
      <w:r>
        <w:t xml:space="preserve">Step 9: Conduct the annual vendor review</w:t>
      </w:r>
    </w:p>
    <w:p>
      <w:pPr>
        <w:spacing w:after="100"/>
      </w:pPr>
      <w:r>
        <w:t xml:space="preserve">Ninety days before contract renewal, the vendor owner, IT Security, and Finance meet to review the vendor. Assess: Is the team still using the tool? Has the vendor's security posture changed? Is the pricing competitive? Request the latest SOC 2 Type II report and compare against your security requirements. Decide: renew, renegotiate, or replace.</w:t>
      </w:r>
    </w:p>
    <w:p>
      <w:pPr>
        <w:pStyle w:val="ListParagraph"/>
        <w:numPr>
          <w:ilvl w:val="1"/>
          <w:numId w:val="1"/>
        </w:numPr>
        <w:spacing w:after="40"/>
      </w:pPr>
      <w:r>
        <w:t xml:space="preserve">Pull usage data — how many active users vs. licensed seats</w:t>
      </w:r>
    </w:p>
    <w:p>
      <w:pPr>
        <w:pStyle w:val="ListParagraph"/>
        <w:numPr>
          <w:ilvl w:val="1"/>
          <w:numId w:val="1"/>
        </w:numPr>
        <w:spacing w:after="40"/>
      </w:pPr>
      <w:r>
        <w:t xml:space="preserve">Request the vendor's most recent SOC 2 Type II report</w:t>
      </w:r>
    </w:p>
    <w:p>
      <w:pPr>
        <w:pStyle w:val="ListParagraph"/>
        <w:numPr>
          <w:ilvl w:val="1"/>
          <w:numId w:val="1"/>
        </w:numPr>
        <w:spacing w:after="40"/>
      </w:pPr>
      <w:r>
        <w:t xml:space="preserve">Compare current pricing against market alternatives</w:t>
      </w:r>
    </w:p>
    <w:p>
      <w:pPr>
        <w:pStyle w:val="ListParagraph"/>
        <w:numPr>
          <w:ilvl w:val="1"/>
          <w:numId w:val="1"/>
        </w:numPr>
        <w:spacing w:after="40"/>
      </w:pPr>
      <w:r>
        <w:t xml:space="preserve">Document the renewal decision and rationale</w:t>
      </w:r>
    </w:p>
    <w:p>
      <w:pPr>
        <w:pStyle w:val="Heading2"/>
        <w:spacing w:after="100" w:before="240"/>
      </w:pPr>
      <w:r>
        <w:t xml:space="preserve">Completion Checklist</w:t>
      </w:r>
    </w:p>
    <w:p>
      <w:pPr>
        <w:spacing w:after="40"/>
      </w:pPr>
      <w:r>
        <w:t xml:space="preserve">☐  Vendor request form submitted with business justification</w:t>
      </w:r>
    </w:p>
    <w:p>
      <w:pPr>
        <w:spacing w:after="40"/>
      </w:pPr>
      <w:r>
        <w:t xml:space="preserve">☐  Evaluation scorecard completed with scores across all 6 dimensions</w:t>
      </w:r>
    </w:p>
    <w:p>
      <w:pPr>
        <w:spacing w:after="40"/>
      </w:pPr>
      <w:r>
        <w:t xml:space="preserve">☐  At least 2 alternative vendors compared before selection</w:t>
      </w:r>
    </w:p>
    <w:p>
      <w:pPr>
        <w:spacing w:after="40"/>
      </w:pPr>
      <w:r>
        <w:t xml:space="preserve">☐  Security questionnaire sent and responses reviewed by IT Security</w:t>
      </w:r>
    </w:p>
    <w:p>
      <w:pPr>
        <w:spacing w:after="40"/>
      </w:pPr>
      <w:r>
        <w:t xml:space="preserve">☐  SOC 2 Type II report verified as current (within 12 months)</w:t>
      </w:r>
    </w:p>
    <w:p>
      <w:pPr>
        <w:spacing w:after="40"/>
      </w:pPr>
      <w:r>
        <w:t xml:space="preserve">☐  SSO/SAML support confirmed on the purchased plan tier</w:t>
      </w:r>
    </w:p>
    <w:p>
      <w:pPr>
        <w:spacing w:after="40"/>
      </w:pPr>
      <w:r>
        <w:t xml:space="preserve">☐  Legal review of MSA, DPA, and ToS completed</w:t>
      </w:r>
    </w:p>
    <w:p>
      <w:pPr>
        <w:spacing w:after="40"/>
      </w:pPr>
      <w:r>
        <w:t xml:space="preserve">☐  DPA includes Standard Contractual Clauses if processing EU data</w:t>
      </w:r>
    </w:p>
    <w:p>
      <w:pPr>
        <w:spacing w:after="40"/>
      </w:pPr>
      <w:r>
        <w:t xml:space="preserve">☐  Finance approved the spend and contract is executed</w:t>
      </w:r>
    </w:p>
    <w:p>
      <w:pPr>
        <w:spacing w:after="40"/>
      </w:pPr>
      <w:r>
        <w:t xml:space="preserve">☐  Vendor added to master inventory with risk tier and contract dates</w:t>
      </w:r>
    </w:p>
    <w:p>
      <w:pPr>
        <w:spacing w:after="40"/>
      </w:pPr>
      <w:r>
        <w:t xml:space="preserve">☐  SSO/SAML configured in identity provider</w:t>
      </w:r>
    </w:p>
    <w:p>
      <w:pPr>
        <w:spacing w:after="40"/>
      </w:pPr>
      <w:r>
        <w:t xml:space="preserve">☐  Annual SOC 2 refresh reminder set</w:t>
      </w:r>
    </w:p>
    <w:p>
      <w:pPr>
        <w:spacing w:after="40"/>
      </w:pPr>
      <w:r>
        <w:t xml:space="preserve">☐  90-day pre-renewal review reminder set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Vendor evaluation cycle time (request to approved)</w:t>
            </w:r>
          </w:p>
        </w:tc>
        <w:tc>
          <w:tcPr>
            <w:tcMar>
              <w:top w:type="dxa" w:w="60"/>
              <w:left w:type="dxa" w:w="120"/>
              <w:bottom w:type="dxa" w:w="60"/>
              <w:right w:type="dxa" w:w="120"/>
            </w:tcMar>
          </w:tcPr>
          <w:p>
            <w:r>
              <w:rPr>
                <w:b w:val="false"/>
                <w:bCs w:val="false"/>
              </w:rPr>
              <w:t xml:space="preserve">Under 15 business days</w:t>
            </w:r>
          </w:p>
        </w:tc>
      </w:tr>
      <w:tr>
        <w:trPr>
          <w:tblHeader w:val="false"/>
        </w:trPr>
        <w:tc>
          <w:tcPr>
            <w:tcMar>
              <w:top w:type="dxa" w:w="60"/>
              <w:left w:type="dxa" w:w="120"/>
              <w:bottom w:type="dxa" w:w="60"/>
              <w:right w:type="dxa" w:w="120"/>
            </w:tcMar>
          </w:tcPr>
          <w:p>
            <w:r>
              <w:rPr>
                <w:b w:val="false"/>
                <w:bCs w:val="false"/>
              </w:rPr>
              <w:t xml:space="preserve">Percentage of vendors with current SOC 2 reports on file</w:t>
            </w:r>
          </w:p>
        </w:tc>
        <w:tc>
          <w:tcPr>
            <w:tcMar>
              <w:top w:type="dxa" w:w="60"/>
              <w:left w:type="dxa" w:w="120"/>
              <w:bottom w:type="dxa" w:w="60"/>
              <w:right w:type="dxa" w:w="120"/>
            </w:tcMar>
          </w:tcPr>
          <w:p>
            <w:r>
              <w:rPr>
                <w:b w:val="false"/>
                <w:bCs w:val="false"/>
              </w:rPr>
              <w:t xml:space="preserve">100%</w:t>
            </w:r>
          </w:p>
        </w:tc>
      </w:tr>
      <w:tr>
        <w:trPr>
          <w:tblHeader w:val="false"/>
        </w:trPr>
        <w:tc>
          <w:tcPr>
            <w:tcMar>
              <w:top w:type="dxa" w:w="60"/>
              <w:left w:type="dxa" w:w="120"/>
              <w:bottom w:type="dxa" w:w="60"/>
              <w:right w:type="dxa" w:w="120"/>
            </w:tcMar>
          </w:tcPr>
          <w:p>
            <w:r>
              <w:rPr>
                <w:b w:val="false"/>
                <w:bCs w:val="false"/>
              </w:rPr>
              <w:t xml:space="preserve">SSO/SAML adoption rate across all vendors</w:t>
            </w:r>
          </w:p>
        </w:tc>
        <w:tc>
          <w:tcPr>
            <w:tcMar>
              <w:top w:type="dxa" w:w="60"/>
              <w:left w:type="dxa" w:w="120"/>
              <w:bottom w:type="dxa" w:w="60"/>
              <w:right w:type="dxa" w:w="120"/>
            </w:tcMar>
          </w:tcPr>
          <w:p>
            <w:r>
              <w:rPr>
                <w:b w:val="false"/>
                <w:bCs w:val="false"/>
              </w:rPr>
              <w:t xml:space="preserve">95% or higher</w:t>
            </w:r>
          </w:p>
        </w:tc>
      </w:tr>
      <w:tr>
        <w:trPr>
          <w:tblHeader w:val="false"/>
        </w:trPr>
        <w:tc>
          <w:tcPr>
            <w:tcMar>
              <w:top w:type="dxa" w:w="60"/>
              <w:left w:type="dxa" w:w="120"/>
              <w:bottom w:type="dxa" w:w="60"/>
              <w:right w:type="dxa" w:w="120"/>
            </w:tcMar>
          </w:tcPr>
          <w:p>
            <w:r>
              <w:rPr>
                <w:b w:val="false"/>
                <w:bCs w:val="false"/>
              </w:rPr>
              <w:t xml:space="preserve">Contract renewals reviewed before auto-renewal deadline</w:t>
            </w:r>
          </w:p>
        </w:tc>
        <w:tc>
          <w:tcPr>
            <w:tcMar>
              <w:top w:type="dxa" w:w="60"/>
              <w:left w:type="dxa" w:w="120"/>
              <w:bottom w:type="dxa" w:w="60"/>
              <w:right w:type="dxa" w:w="120"/>
            </w:tcMar>
          </w:tcPr>
          <w:p>
            <w:r>
              <w:rPr>
                <w:b w:val="false"/>
                <w:bCs w:val="false"/>
              </w:rPr>
              <w:t xml:space="preserve">100%</w:t>
            </w:r>
          </w:p>
        </w:tc>
      </w:tr>
      <w:tr>
        <w:trPr>
          <w:tblHeader w:val="false"/>
        </w:trPr>
        <w:tc>
          <w:tcPr>
            <w:tcMar>
              <w:top w:type="dxa" w:w="60"/>
              <w:left w:type="dxa" w:w="120"/>
              <w:bottom w:type="dxa" w:w="60"/>
              <w:right w:type="dxa" w:w="120"/>
            </w:tcMar>
          </w:tcPr>
          <w:p>
            <w:r>
              <w:rPr>
                <w:b w:val="false"/>
                <w:bCs w:val="false"/>
              </w:rPr>
              <w:t xml:space="preserve">Shelfware rate (licensed seats with zero usage in 90 days)</w:t>
            </w:r>
          </w:p>
        </w:tc>
        <w:tc>
          <w:tcPr>
            <w:tcMar>
              <w:top w:type="dxa" w:w="60"/>
              <w:left w:type="dxa" w:w="120"/>
              <w:bottom w:type="dxa" w:w="60"/>
              <w:right w:type="dxa" w:w="120"/>
            </w:tcMar>
          </w:tcPr>
          <w:p>
            <w:r>
              <w:rPr>
                <w:b w:val="false"/>
                <w:bCs w:val="false"/>
              </w:rPr>
              <w:t xml:space="preserve">Under 10%</w:t>
            </w:r>
          </w:p>
        </w:tc>
      </w:tr>
    </w:tbl>
    <w:p>
      <w:pPr>
        <w:pStyle w:val="Heading2"/>
        <w:spacing w:after="100" w:before="240"/>
      </w:pPr>
      <w:r>
        <w:t xml:space="preserve">Revision Schedule</w:t>
      </w:r>
    </w:p>
    <w:p>
      <w:pPr>
        <w:spacing w:after="100"/>
      </w:pPr>
      <w:r>
        <w:t xml:space="preserve">Semi-annually, or immediately after changes to compliance requirements, security policies, or procurement thresholds.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SaaS Vendor Management Standard Operating Procedure Template</dc:title>
  <dc:creator>Glyde</dc:creator>
  <dc:description>Free SaaS vendor management SOP template. Covers vendor evaluation, SOC 2 compliance checks, security questionnaires, and renewal workflows.</dc:description>
  <cp:lastModifiedBy>Un-named</cp:lastModifiedBy>
  <cp:revision>1</cp:revision>
  <dcterms:created xsi:type="dcterms:W3CDTF">2026-07-22T08:34:36.514Z</dcterms:created>
  <dcterms:modified xsi:type="dcterms:W3CDTF">2026-07-22T08:34:36.514Z</dcterms:modified>
</cp:coreProperties>
</file>

<file path=docProps/custom.xml><?xml version="1.0" encoding="utf-8"?>
<Properties xmlns="http://schemas.openxmlformats.org/officeDocument/2006/custom-properties" xmlns:vt="http://schemas.openxmlformats.org/officeDocument/2006/docPropsVTypes"/>
</file>